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eastAsia="华文中宋"/>
          <w:b/>
          <w:spacing w:val="20"/>
          <w:kern w:val="0"/>
          <w:sz w:val="44"/>
        </w:rPr>
      </w:pPr>
    </w:p>
    <w:p>
      <w:pPr>
        <w:pStyle w:val="62"/>
      </w:pPr>
    </w:p>
    <w:p>
      <w:pPr>
        <w:adjustRightInd w:val="0"/>
        <w:snapToGrid w:val="0"/>
        <w:spacing w:line="360" w:lineRule="auto"/>
        <w:jc w:val="center"/>
        <w:rPr>
          <w:rFonts w:eastAsia="华文中宋"/>
          <w:b/>
          <w:spacing w:val="20"/>
          <w:kern w:val="0"/>
          <w:sz w:val="44"/>
        </w:rPr>
      </w:pPr>
    </w:p>
    <w:p>
      <w:pPr>
        <w:pStyle w:val="32"/>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宋体" w:hAnsi="宋体" w:eastAsia="宋体" w:cs="宋体"/>
          <w:b/>
          <w:spacing w:val="0"/>
          <w:kern w:val="2"/>
          <w:sz w:val="44"/>
          <w:szCs w:val="44"/>
          <w:lang w:eastAsia="zh-CN"/>
        </w:rPr>
      </w:pPr>
      <w:r>
        <w:rPr>
          <w:rFonts w:hint="eastAsia" w:hAnsi="宋体" w:cs="宋体"/>
          <w:b/>
          <w:spacing w:val="0"/>
          <w:kern w:val="2"/>
          <w:sz w:val="44"/>
          <w:szCs w:val="44"/>
          <w:lang w:eastAsia="zh-CN"/>
        </w:rPr>
        <w:t>斯伦贝谢油田技术（山东）有限公司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宋体" w:hAnsi="宋体" w:eastAsia="宋体" w:cs="宋体"/>
          <w:b/>
          <w:sz w:val="44"/>
          <w:szCs w:val="44"/>
          <w:lang w:eastAsia="zh-CN"/>
        </w:rPr>
      </w:pPr>
      <w:r>
        <w:rPr>
          <w:rFonts w:hint="eastAsia" w:ascii="宋体" w:hAnsi="宋体" w:cs="宋体"/>
          <w:b/>
          <w:sz w:val="44"/>
          <w:szCs w:val="44"/>
          <w:lang w:eastAsia="zh-CN"/>
        </w:rPr>
        <w:t>钻井（定向施工）项目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黑体" w:hAnsi="黑体" w:eastAsia="黑体" w:cs="黑体"/>
          <w:b/>
          <w:bCs/>
          <w:spacing w:val="11"/>
          <w:sz w:val="52"/>
          <w:szCs w:val="52"/>
        </w:rPr>
      </w:pPr>
      <w:r>
        <w:rPr>
          <w:rFonts w:hint="eastAsia" w:ascii="黑体" w:hAnsi="黑体" w:eastAsia="黑体" w:cs="黑体"/>
          <w:b/>
          <w:bCs/>
          <w:spacing w:val="11"/>
          <w:sz w:val="52"/>
          <w:szCs w:val="52"/>
        </w:rPr>
        <w:t>安全现状评价报告</w:t>
      </w:r>
    </w:p>
    <w:p>
      <w:pPr>
        <w:adjustRightInd w:val="0"/>
        <w:snapToGrid w:val="0"/>
        <w:spacing w:line="360" w:lineRule="auto"/>
        <w:jc w:val="center"/>
        <w:rPr>
          <w:rFonts w:eastAsia="仿宋_GB2312"/>
          <w:b/>
          <w:bCs/>
          <w:kern w:val="0"/>
          <w:sz w:val="52"/>
        </w:rPr>
      </w:pPr>
    </w:p>
    <w:p>
      <w:pPr>
        <w:adjustRightInd w:val="0"/>
        <w:snapToGrid w:val="0"/>
        <w:spacing w:line="360" w:lineRule="auto"/>
        <w:ind w:firstLine="640" w:firstLineChars="200"/>
        <w:rPr>
          <w:rFonts w:eastAsia="仿宋_GB2312"/>
          <w:b/>
          <w:bCs/>
          <w:kern w:val="0"/>
          <w:sz w:val="32"/>
        </w:rPr>
      </w:pPr>
    </w:p>
    <w:p>
      <w:pPr>
        <w:pStyle w:val="62"/>
        <w:rPr>
          <w:rFonts w:eastAsia="仿宋_GB2312"/>
          <w:b/>
          <w:bCs/>
          <w:kern w:val="0"/>
          <w:sz w:val="32"/>
        </w:rPr>
      </w:pPr>
    </w:p>
    <w:p>
      <w:pPr>
        <w:pStyle w:val="62"/>
        <w:rPr>
          <w:rFonts w:eastAsia="仿宋_GB2312"/>
          <w:b/>
          <w:bCs/>
          <w:kern w:val="0"/>
          <w:sz w:val="32"/>
        </w:rPr>
      </w:pPr>
    </w:p>
    <w:p>
      <w:pPr>
        <w:adjustRightInd w:val="0"/>
        <w:snapToGrid w:val="0"/>
        <w:spacing w:line="360" w:lineRule="auto"/>
        <w:ind w:firstLine="640" w:firstLineChars="200"/>
        <w:rPr>
          <w:rFonts w:eastAsia="仿宋_GB2312"/>
          <w:b/>
          <w:bCs/>
          <w:kern w:val="0"/>
          <w:sz w:val="32"/>
        </w:rPr>
      </w:pPr>
    </w:p>
    <w:p>
      <w:pPr>
        <w:adjustRightInd w:val="0"/>
        <w:snapToGrid w:val="0"/>
        <w:spacing w:line="360" w:lineRule="auto"/>
        <w:ind w:firstLine="640" w:firstLineChars="200"/>
        <w:rPr>
          <w:rFonts w:eastAsia="仿宋_GB2312"/>
          <w:b/>
          <w:bCs/>
          <w:kern w:val="0"/>
          <w:sz w:val="32"/>
        </w:rPr>
      </w:pPr>
    </w:p>
    <w:p>
      <w:pPr>
        <w:pStyle w:val="62"/>
        <w:rPr>
          <w:rFonts w:eastAsia="仿宋_GB2312"/>
          <w:b/>
          <w:bCs/>
          <w:kern w:val="0"/>
          <w:sz w:val="32"/>
        </w:rPr>
      </w:pPr>
    </w:p>
    <w:p>
      <w:pPr>
        <w:pStyle w:val="62"/>
        <w:rPr>
          <w:rFonts w:eastAsia="仿宋_GB2312"/>
          <w:b/>
          <w:bCs/>
          <w:kern w:val="0"/>
          <w:sz w:val="32"/>
        </w:rPr>
      </w:pPr>
    </w:p>
    <w:p>
      <w:pPr>
        <w:adjustRightInd w:val="0"/>
        <w:snapToGrid w:val="0"/>
        <w:spacing w:line="360" w:lineRule="auto"/>
        <w:ind w:firstLine="640" w:firstLineChars="200"/>
        <w:rPr>
          <w:rFonts w:eastAsia="仿宋_GB2312"/>
          <w:b/>
          <w:bCs/>
          <w:kern w:val="0"/>
          <w:sz w:val="32"/>
        </w:rPr>
      </w:pPr>
    </w:p>
    <w:p>
      <w:pPr>
        <w:adjustRightInd w:val="0"/>
        <w:snapToGrid w:val="0"/>
        <w:spacing w:line="360" w:lineRule="auto"/>
        <w:ind w:firstLine="640" w:firstLineChars="200"/>
        <w:rPr>
          <w:rFonts w:eastAsia="仿宋_GB2312"/>
          <w:b/>
          <w:bCs/>
          <w:color w:val="auto"/>
          <w:kern w:val="0"/>
          <w:sz w:val="32"/>
        </w:rPr>
      </w:pP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仿宋_GB2312" w:hAnsi="仿宋_GB2312" w:eastAsia="仿宋_GB2312" w:cs="仿宋_GB2312"/>
          <w:b/>
          <w:bCs/>
          <w:color w:val="auto"/>
          <w:kern w:val="0"/>
          <w:sz w:val="44"/>
        </w:rPr>
      </w:pPr>
      <w:r>
        <w:rPr>
          <w:rFonts w:hint="eastAsia" w:ascii="仿宋_GB2312" w:hAnsi="仿宋_GB2312" w:eastAsia="仿宋_GB2312" w:cs="仿宋_GB2312"/>
          <w:b/>
          <w:bCs/>
          <w:color w:val="auto"/>
          <w:kern w:val="0"/>
          <w:sz w:val="44"/>
          <w:lang w:val="en-US" w:eastAsia="zh-CN"/>
        </w:rPr>
        <w:t>山东实华</w:t>
      </w:r>
      <w:r>
        <w:rPr>
          <w:rFonts w:hint="eastAsia" w:ascii="仿宋_GB2312" w:hAnsi="仿宋_GB2312" w:eastAsia="仿宋_GB2312" w:cs="仿宋_GB2312"/>
          <w:b/>
          <w:bCs/>
          <w:color w:val="auto"/>
          <w:kern w:val="0"/>
          <w:sz w:val="44"/>
        </w:rPr>
        <w:t>安全技术有限公司</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仿宋_GB2312" w:cs="Times New Roman"/>
          <w:b/>
          <w:bCs/>
          <w:color w:val="auto"/>
          <w:kern w:val="0"/>
          <w:sz w:val="36"/>
          <w:szCs w:val="28"/>
        </w:rPr>
      </w:pPr>
      <w:r>
        <w:rPr>
          <w:rFonts w:hint="default" w:ascii="Times New Roman" w:hAnsi="Times New Roman" w:eastAsia="仿宋_GB2312" w:cs="Times New Roman"/>
          <w:b/>
          <w:bCs/>
          <w:color w:val="auto"/>
          <w:kern w:val="0"/>
          <w:sz w:val="36"/>
          <w:szCs w:val="36"/>
        </w:rPr>
        <w:t>APJ-（鲁）-013</w:t>
      </w:r>
    </w:p>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default" w:ascii="Times New Roman" w:hAnsi="Times New Roman" w:eastAsia="仿宋_GB2312" w:cs="Times New Roman"/>
          <w:b/>
          <w:bCs/>
          <w:kern w:val="0"/>
          <w:sz w:val="36"/>
          <w:szCs w:val="28"/>
          <w:lang w:val="en-US" w:eastAsia="zh-CN"/>
        </w:rPr>
      </w:pPr>
      <w:r>
        <w:rPr>
          <w:rFonts w:hint="default" w:ascii="Times New Roman" w:hAnsi="Times New Roman" w:eastAsia="仿宋_GB2312" w:cs="Times New Roman"/>
          <w:b/>
          <w:bCs/>
          <w:kern w:val="0"/>
          <w:sz w:val="36"/>
          <w:szCs w:val="28"/>
          <w:lang w:val="en-US" w:eastAsia="zh-CN"/>
        </w:rPr>
        <w:t>二〇二二年八月</w:t>
      </w:r>
    </w:p>
    <w:p>
      <w:pPr>
        <w:adjustRightInd w:val="0"/>
        <w:snapToGrid w:val="0"/>
        <w:spacing w:line="360" w:lineRule="auto"/>
        <w:jc w:val="center"/>
        <w:rPr>
          <w:b/>
          <w:bCs/>
          <w:kern w:val="0"/>
          <w:sz w:val="32"/>
        </w:rPr>
      </w:pPr>
    </w:p>
    <w:p>
      <w:pPr>
        <w:pStyle w:val="2"/>
        <w:rPr>
          <w:b/>
          <w:bCs/>
          <w:kern w:val="0"/>
          <w:sz w:val="32"/>
        </w:rPr>
      </w:pPr>
    </w:p>
    <w:p>
      <w:pPr>
        <w:pStyle w:val="2"/>
        <w:rPr>
          <w:b/>
          <w:bCs/>
          <w:kern w:val="0"/>
          <w:sz w:val="32"/>
        </w:rPr>
      </w:pPr>
    </w:p>
    <w:p>
      <w:pPr>
        <w:adjustRightInd w:val="0"/>
        <w:snapToGrid w:val="0"/>
        <w:spacing w:line="360" w:lineRule="auto"/>
        <w:jc w:val="center"/>
        <w:rPr>
          <w:b/>
          <w:bCs/>
          <w:kern w:val="0"/>
          <w:sz w:val="32"/>
        </w:rPr>
        <w:sectPr>
          <w:headerReference r:id="rId4" w:type="first"/>
          <w:footerReference r:id="rId6" w:type="first"/>
          <w:headerReference r:id="rId3" w:type="even"/>
          <w:footerReference r:id="rId5" w:type="even"/>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adjustRightInd w:val="0"/>
        <w:snapToGrid w:val="0"/>
        <w:spacing w:line="360" w:lineRule="auto"/>
        <w:jc w:val="center"/>
        <w:rPr>
          <w:spacing w:val="10"/>
          <w:sz w:val="28"/>
        </w:rPr>
      </w:pPr>
    </w:p>
    <w:p>
      <w:pPr>
        <w:adjustRightInd w:val="0"/>
        <w:snapToGrid w:val="0"/>
        <w:spacing w:line="360" w:lineRule="auto"/>
        <w:jc w:val="center"/>
        <w:rPr>
          <w:spacing w:val="10"/>
          <w:sz w:val="28"/>
        </w:rPr>
      </w:pPr>
    </w:p>
    <w:p>
      <w:pPr>
        <w:adjustRightInd w:val="0"/>
        <w:snapToGrid w:val="0"/>
        <w:spacing w:line="360" w:lineRule="auto"/>
        <w:jc w:val="center"/>
        <w:rPr>
          <w:spacing w:val="10"/>
          <w:sz w:val="28"/>
        </w:rPr>
      </w:pPr>
    </w:p>
    <w:p>
      <w:pPr>
        <w:adjustRightInd w:val="0"/>
        <w:snapToGrid w:val="0"/>
        <w:spacing w:line="360" w:lineRule="auto"/>
        <w:jc w:val="center"/>
        <w:rPr>
          <w:spacing w:val="10"/>
          <w:sz w:val="28"/>
        </w:rPr>
      </w:pPr>
    </w:p>
    <w:p>
      <w:pPr>
        <w:adjustRightInd w:val="0"/>
        <w:snapToGrid w:val="0"/>
        <w:spacing w:line="360" w:lineRule="auto"/>
        <w:jc w:val="center"/>
        <w:rPr>
          <w:spacing w:val="10"/>
          <w:sz w:val="28"/>
        </w:rPr>
      </w:pPr>
    </w:p>
    <w:p>
      <w:pPr>
        <w:pStyle w:val="3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eastAsia="宋体"/>
          <w:b/>
          <w:spacing w:val="0"/>
          <w:kern w:val="2"/>
          <w:sz w:val="32"/>
          <w:szCs w:val="44"/>
          <w:lang w:eastAsia="zh-CN"/>
        </w:rPr>
      </w:pPr>
      <w:r>
        <w:rPr>
          <w:rFonts w:hint="eastAsia" w:ascii="Times New Roman"/>
          <w:b/>
          <w:spacing w:val="0"/>
          <w:kern w:val="2"/>
          <w:sz w:val="32"/>
          <w:szCs w:val="44"/>
          <w:lang w:eastAsia="zh-CN"/>
        </w:rPr>
        <w:t>斯伦贝谢油田技术（山东）有限公司</w:t>
      </w:r>
    </w:p>
    <w:p>
      <w:pPr>
        <w:pStyle w:val="3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eastAsia="宋体"/>
          <w:b/>
          <w:spacing w:val="0"/>
          <w:kern w:val="2"/>
          <w:sz w:val="32"/>
          <w:szCs w:val="44"/>
          <w:lang w:eastAsia="zh-CN"/>
        </w:rPr>
      </w:pPr>
      <w:r>
        <w:rPr>
          <w:rFonts w:hint="eastAsia" w:ascii="Times New Roman"/>
          <w:b/>
          <w:spacing w:val="0"/>
          <w:kern w:val="2"/>
          <w:sz w:val="32"/>
          <w:szCs w:val="44"/>
          <w:lang w:eastAsia="zh-CN"/>
        </w:rPr>
        <w:t>钻井（定向施工）项目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spacing w:val="60"/>
          <w:sz w:val="44"/>
          <w:szCs w:val="52"/>
        </w:rPr>
      </w:pPr>
      <w:r>
        <w:rPr>
          <w:rFonts w:hint="eastAsia"/>
          <w:b/>
          <w:bCs/>
          <w:spacing w:val="60"/>
          <w:sz w:val="44"/>
          <w:szCs w:val="52"/>
        </w:rPr>
        <w:t>安全现状评价报告</w:t>
      </w:r>
    </w:p>
    <w:p>
      <w:pPr>
        <w:adjustRightInd w:val="0"/>
        <w:snapToGrid w:val="0"/>
        <w:spacing w:line="360" w:lineRule="auto"/>
        <w:rPr>
          <w:rFonts w:eastAsia="黑体"/>
          <w:b/>
          <w:bCs/>
          <w:spacing w:val="60"/>
          <w:sz w:val="32"/>
          <w:szCs w:val="32"/>
        </w:rPr>
      </w:pPr>
    </w:p>
    <w:p>
      <w:pPr>
        <w:adjustRightInd w:val="0"/>
        <w:snapToGrid w:val="0"/>
        <w:spacing w:line="360" w:lineRule="auto"/>
        <w:rPr>
          <w:b/>
          <w:bCs/>
          <w:sz w:val="13"/>
        </w:rPr>
      </w:pPr>
    </w:p>
    <w:p>
      <w:pPr>
        <w:adjustRightInd w:val="0"/>
        <w:snapToGrid w:val="0"/>
        <w:spacing w:line="360" w:lineRule="auto"/>
        <w:jc w:val="center"/>
        <w:rPr>
          <w:rFonts w:eastAsia="仿宋_GB2312"/>
          <w:b/>
          <w:bCs/>
          <w:kern w:val="0"/>
          <w:sz w:val="28"/>
          <w:szCs w:val="28"/>
        </w:rPr>
      </w:pPr>
    </w:p>
    <w:p>
      <w:pPr>
        <w:adjustRightInd w:val="0"/>
        <w:snapToGrid w:val="0"/>
        <w:spacing w:line="360" w:lineRule="auto"/>
        <w:ind w:firstLine="640" w:firstLineChars="200"/>
        <w:rPr>
          <w:rFonts w:eastAsia="仿宋_GB2312"/>
          <w:b/>
          <w:bCs/>
          <w:kern w:val="0"/>
          <w:sz w:val="32"/>
        </w:rPr>
      </w:pPr>
    </w:p>
    <w:p>
      <w:pPr>
        <w:adjustRightInd w:val="0"/>
        <w:snapToGrid w:val="0"/>
        <w:spacing w:line="360" w:lineRule="auto"/>
        <w:ind w:firstLine="640" w:firstLineChars="200"/>
        <w:rPr>
          <w:rFonts w:eastAsia="仿宋_GB2312"/>
          <w:b/>
          <w:bCs/>
          <w:kern w:val="0"/>
          <w:sz w:val="32"/>
        </w:rPr>
      </w:pPr>
    </w:p>
    <w:p>
      <w:pPr>
        <w:adjustRightInd w:val="0"/>
        <w:snapToGrid w:val="0"/>
        <w:spacing w:line="360" w:lineRule="auto"/>
        <w:ind w:firstLine="640" w:firstLineChars="200"/>
        <w:rPr>
          <w:rFonts w:eastAsia="仿宋_GB2312"/>
          <w:b/>
          <w:bCs/>
          <w:kern w:val="0"/>
          <w:sz w:val="32"/>
        </w:rPr>
      </w:pPr>
    </w:p>
    <w:p>
      <w:pPr>
        <w:adjustRightInd w:val="0"/>
        <w:snapToGrid w:val="0"/>
        <w:spacing w:line="360" w:lineRule="auto"/>
        <w:ind w:firstLine="640" w:firstLineChars="200"/>
        <w:rPr>
          <w:rFonts w:eastAsia="仿宋_GB2312"/>
          <w:b/>
          <w:bCs/>
          <w:kern w:val="0"/>
          <w:sz w:val="32"/>
        </w:rPr>
      </w:pPr>
    </w:p>
    <w:p>
      <w:pPr>
        <w:adjustRightInd w:val="0"/>
        <w:snapToGrid w:val="0"/>
        <w:spacing w:line="360" w:lineRule="auto"/>
        <w:ind w:firstLine="640" w:firstLineChars="200"/>
        <w:rPr>
          <w:rFonts w:eastAsia="仿宋_GB2312"/>
          <w:b/>
          <w:bCs/>
          <w:kern w:val="0"/>
          <w:sz w:val="32"/>
        </w:rPr>
      </w:pPr>
    </w:p>
    <w:p>
      <w:pPr>
        <w:adjustRightInd w:val="0"/>
        <w:snapToGrid w:val="0"/>
        <w:spacing w:line="360" w:lineRule="auto"/>
        <w:jc w:val="center"/>
        <w:rPr>
          <w:rFonts w:hint="eastAsia" w:eastAsia="宋体"/>
          <w:kern w:val="0"/>
          <w:sz w:val="28"/>
          <w:szCs w:val="32"/>
          <w:lang w:eastAsia="zh-CN"/>
        </w:rPr>
      </w:pPr>
      <w:r>
        <w:rPr>
          <w:rFonts w:hint="eastAsia"/>
          <w:kern w:val="0"/>
          <w:sz w:val="28"/>
          <w:szCs w:val="32"/>
        </w:rPr>
        <w:t>法定代表人</w:t>
      </w:r>
      <w:r>
        <w:rPr>
          <w:rFonts w:hint="eastAsia"/>
          <w:kern w:val="0"/>
          <w:sz w:val="28"/>
          <w:szCs w:val="32"/>
          <w:lang w:eastAsia="zh-CN"/>
        </w:rPr>
        <w:t>：</w:t>
      </w:r>
      <w:r>
        <w:rPr>
          <w:rFonts w:hint="eastAsia"/>
          <w:kern w:val="0"/>
          <w:sz w:val="28"/>
          <w:szCs w:val="32"/>
          <w:lang w:val="en-US" w:eastAsia="zh-CN"/>
        </w:rPr>
        <w:t>任红艳</w:t>
      </w:r>
    </w:p>
    <w:p>
      <w:pPr>
        <w:shd w:val="clear"/>
        <w:adjustRightInd w:val="0"/>
        <w:snapToGrid w:val="0"/>
        <w:spacing w:line="360" w:lineRule="auto"/>
        <w:jc w:val="center"/>
        <w:rPr>
          <w:rFonts w:hint="eastAsia" w:eastAsia="宋体"/>
          <w:kern w:val="0"/>
          <w:sz w:val="28"/>
          <w:szCs w:val="32"/>
          <w:highlight w:val="none"/>
          <w:lang w:eastAsia="zh-CN"/>
        </w:rPr>
      </w:pPr>
      <w:r>
        <w:rPr>
          <w:rFonts w:hint="eastAsia"/>
          <w:kern w:val="0"/>
          <w:sz w:val="28"/>
          <w:szCs w:val="32"/>
          <w:highlight w:val="none"/>
        </w:rPr>
        <w:t>技术负责人</w:t>
      </w:r>
      <w:r>
        <w:rPr>
          <w:rFonts w:hint="eastAsia"/>
          <w:kern w:val="0"/>
          <w:sz w:val="28"/>
          <w:szCs w:val="32"/>
          <w:highlight w:val="none"/>
          <w:lang w:eastAsia="zh-CN"/>
        </w:rPr>
        <w:t>：</w:t>
      </w:r>
      <w:r>
        <w:rPr>
          <w:rFonts w:hint="eastAsia"/>
          <w:kern w:val="0"/>
          <w:sz w:val="28"/>
          <w:szCs w:val="32"/>
          <w:highlight w:val="none"/>
          <w:lang w:val="en-US" w:eastAsia="zh-CN"/>
        </w:rPr>
        <w:t>吴佳东</w:t>
      </w:r>
    </w:p>
    <w:p>
      <w:pPr>
        <w:shd w:val="clear"/>
        <w:adjustRightInd w:val="0"/>
        <w:snapToGrid w:val="0"/>
        <w:spacing w:line="360" w:lineRule="auto"/>
        <w:jc w:val="center"/>
        <w:rPr>
          <w:rFonts w:hint="eastAsia" w:eastAsia="宋体"/>
          <w:kern w:val="0"/>
          <w:sz w:val="28"/>
          <w:szCs w:val="32"/>
          <w:highlight w:val="none"/>
          <w:lang w:eastAsia="zh-CN"/>
        </w:rPr>
      </w:pPr>
      <w:r>
        <w:rPr>
          <w:rFonts w:hint="eastAsia"/>
          <w:kern w:val="0"/>
          <w:sz w:val="28"/>
          <w:szCs w:val="32"/>
          <w:highlight w:val="none"/>
        </w:rPr>
        <w:t>项目负责人</w:t>
      </w:r>
      <w:r>
        <w:rPr>
          <w:rFonts w:hint="eastAsia"/>
          <w:kern w:val="0"/>
          <w:sz w:val="28"/>
          <w:szCs w:val="32"/>
          <w:highlight w:val="none"/>
          <w:lang w:eastAsia="zh-CN"/>
        </w:rPr>
        <w:t>：</w:t>
      </w:r>
      <w:r>
        <w:rPr>
          <w:rFonts w:hint="eastAsia"/>
          <w:kern w:val="0"/>
          <w:sz w:val="28"/>
          <w:szCs w:val="32"/>
          <w:highlight w:val="none"/>
          <w:lang w:val="en-US" w:eastAsia="zh-CN"/>
        </w:rPr>
        <w:t>林更鹏</w:t>
      </w:r>
    </w:p>
    <w:p>
      <w:pPr>
        <w:adjustRightInd w:val="0"/>
        <w:snapToGrid w:val="0"/>
        <w:spacing w:line="360" w:lineRule="auto"/>
        <w:rPr>
          <w:rFonts w:eastAsia="仿宋_GB2312"/>
          <w:kern w:val="0"/>
          <w:sz w:val="32"/>
        </w:rPr>
      </w:pPr>
    </w:p>
    <w:p>
      <w:pPr>
        <w:pStyle w:val="62"/>
        <w:rPr>
          <w:rFonts w:eastAsia="仿宋_GB2312"/>
          <w:kern w:val="0"/>
          <w:sz w:val="32"/>
        </w:rPr>
      </w:pPr>
    </w:p>
    <w:p>
      <w:pPr>
        <w:pStyle w:val="62"/>
        <w:rPr>
          <w:rFonts w:eastAsia="仿宋_GB2312"/>
          <w:kern w:val="0"/>
          <w:sz w:val="32"/>
        </w:rPr>
      </w:pPr>
    </w:p>
    <w:p>
      <w:pPr>
        <w:adjustRightInd w:val="0"/>
        <w:snapToGrid w:val="0"/>
        <w:spacing w:line="360" w:lineRule="auto"/>
        <w:rPr>
          <w:rFonts w:eastAsia="仿宋_GB2312"/>
          <w:kern w:val="0"/>
          <w:sz w:val="32"/>
        </w:rPr>
      </w:pPr>
    </w:p>
    <w:p>
      <w:pPr>
        <w:adjustRightInd w:val="0"/>
        <w:snapToGrid w:val="0"/>
        <w:spacing w:line="360" w:lineRule="auto"/>
        <w:jc w:val="center"/>
        <w:rPr>
          <w:b/>
          <w:bCs/>
          <w:kern w:val="0"/>
          <w:sz w:val="24"/>
        </w:rPr>
      </w:pPr>
      <w:r>
        <w:rPr>
          <w:rFonts w:hint="eastAsia"/>
          <w:b/>
          <w:bCs/>
          <w:kern w:val="0"/>
          <w:sz w:val="24"/>
        </w:rPr>
        <w:t>报告完成日期</w:t>
      </w:r>
      <w:r>
        <w:rPr>
          <w:rFonts w:hint="eastAsia"/>
          <w:b/>
          <w:bCs/>
          <w:kern w:val="0"/>
          <w:sz w:val="24"/>
          <w:lang w:eastAsia="zh-CN"/>
        </w:rPr>
        <w:t>：</w:t>
      </w:r>
      <w:r>
        <w:rPr>
          <w:rFonts w:hint="eastAsia"/>
          <w:b/>
          <w:bCs/>
          <w:kern w:val="0"/>
          <w:sz w:val="24"/>
        </w:rPr>
        <w:t>20</w:t>
      </w:r>
      <w:r>
        <w:rPr>
          <w:rFonts w:hint="eastAsia"/>
          <w:b/>
          <w:bCs/>
          <w:kern w:val="0"/>
          <w:sz w:val="24"/>
          <w:lang w:val="en-US" w:eastAsia="zh-CN"/>
        </w:rPr>
        <w:t>22</w:t>
      </w:r>
      <w:r>
        <w:rPr>
          <w:rFonts w:hint="eastAsia"/>
          <w:b/>
          <w:bCs/>
          <w:kern w:val="0"/>
          <w:sz w:val="24"/>
        </w:rPr>
        <w:t>年</w:t>
      </w:r>
      <w:r>
        <w:rPr>
          <w:rFonts w:hint="eastAsia"/>
          <w:b/>
          <w:bCs/>
          <w:kern w:val="0"/>
          <w:sz w:val="24"/>
          <w:lang w:val="en-US" w:eastAsia="zh-CN"/>
        </w:rPr>
        <w:t>08</w:t>
      </w:r>
      <w:r>
        <w:rPr>
          <w:rFonts w:hint="eastAsia"/>
          <w:b/>
          <w:bCs/>
          <w:kern w:val="0"/>
          <w:sz w:val="24"/>
        </w:rPr>
        <w:t>月</w:t>
      </w:r>
      <w:r>
        <w:rPr>
          <w:rFonts w:hint="eastAsia"/>
          <w:b/>
          <w:bCs/>
          <w:kern w:val="0"/>
          <w:sz w:val="24"/>
          <w:lang w:val="en-US" w:eastAsia="zh-CN"/>
        </w:rPr>
        <w:t>05</w:t>
      </w:r>
      <w:r>
        <w:rPr>
          <w:rFonts w:hint="eastAsia"/>
          <w:b/>
          <w:bCs/>
          <w:kern w:val="0"/>
          <w:sz w:val="24"/>
        </w:rPr>
        <w:t>日</w:t>
      </w: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widowControl/>
        <w:adjustRightInd w:val="0"/>
        <w:snapToGrid w:val="0"/>
        <w:spacing w:line="360" w:lineRule="auto"/>
        <w:rPr>
          <w:sz w:val="44"/>
          <w:szCs w:val="32"/>
        </w:rPr>
      </w:pPr>
    </w:p>
    <w:p>
      <w:pPr>
        <w:adjustRightInd w:val="0"/>
        <w:snapToGrid w:val="0"/>
        <w:spacing w:line="360" w:lineRule="auto"/>
        <w:jc w:val="center"/>
        <w:rPr>
          <w:rFonts w:eastAsia="黑体"/>
          <w:b/>
          <w:bCs/>
          <w:kern w:val="44"/>
          <w:sz w:val="32"/>
          <w:szCs w:val="32"/>
        </w:rPr>
      </w:pPr>
      <w:r>
        <w:rPr>
          <w:rFonts w:hint="eastAsia" w:eastAsia="黑体"/>
          <w:b/>
          <w:bCs/>
          <w:kern w:val="44"/>
          <w:sz w:val="32"/>
          <w:szCs w:val="32"/>
        </w:rPr>
        <w:t>安全评价委托书</w:t>
      </w:r>
    </w:p>
    <w:p>
      <w:pPr>
        <w:adjustRightInd w:val="0"/>
        <w:snapToGrid w:val="0"/>
        <w:spacing w:line="360" w:lineRule="auto"/>
        <w:jc w:val="center"/>
        <w:rPr>
          <w:rFonts w:eastAsia="黑体"/>
          <w:b/>
          <w:bCs/>
          <w:kern w:val="44"/>
          <w:sz w:val="32"/>
          <w:szCs w:val="32"/>
        </w:rPr>
      </w:pPr>
    </w:p>
    <w:p>
      <w:pPr>
        <w:adjustRightInd w:val="0"/>
        <w:snapToGrid w:val="0"/>
        <w:spacing w:line="360" w:lineRule="auto"/>
        <w:jc w:val="left"/>
        <w:rPr>
          <w:rFonts w:hint="eastAsia" w:eastAsia="宋体"/>
          <w:color w:val="auto"/>
          <w:sz w:val="28"/>
          <w:szCs w:val="28"/>
          <w:lang w:eastAsia="zh-CN"/>
        </w:rPr>
      </w:pPr>
      <w:r>
        <w:rPr>
          <w:rFonts w:hint="eastAsia"/>
          <w:color w:val="auto"/>
          <w:sz w:val="28"/>
          <w:szCs w:val="28"/>
          <w:lang w:eastAsia="zh-CN"/>
        </w:rPr>
        <w:t>山东实华安全技术有限公司：</w:t>
      </w:r>
    </w:p>
    <w:p>
      <w:pPr>
        <w:adjustRightInd w:val="0"/>
        <w:snapToGrid w:val="0"/>
        <w:spacing w:line="360" w:lineRule="auto"/>
        <w:jc w:val="left"/>
        <w:rPr>
          <w:sz w:val="28"/>
          <w:szCs w:val="28"/>
        </w:rPr>
      </w:pP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根据有关法律法规要求，现委托贵单位对我单位</w:t>
      </w:r>
      <w:r>
        <w:rPr>
          <w:rFonts w:hint="eastAsia"/>
          <w:sz w:val="28"/>
          <w:szCs w:val="28"/>
          <w:lang w:eastAsia="zh-CN"/>
        </w:rPr>
        <w:t>钻井（定向施工）项目</w:t>
      </w:r>
      <w:r>
        <w:rPr>
          <w:rFonts w:hint="eastAsia"/>
          <w:sz w:val="28"/>
          <w:szCs w:val="28"/>
        </w:rPr>
        <w:t>进行安全现状评价，为确保安全评价工作客观、公正、科学，我单位承诺如下，并承担相应的法律责任</w:t>
      </w:r>
      <w:r>
        <w:rPr>
          <w:rFonts w:hint="eastAsia"/>
          <w:sz w:val="28"/>
          <w:szCs w:val="28"/>
          <w:lang w:eastAsia="zh-CN"/>
        </w:rPr>
        <w:t>：</w:t>
      </w:r>
    </w:p>
    <w:p>
      <w:pPr>
        <w:adjustRightInd w:val="0"/>
        <w:snapToGrid w:val="0"/>
        <w:spacing w:line="360" w:lineRule="auto"/>
        <w:ind w:firstLine="560" w:firstLineChars="200"/>
        <w:rPr>
          <w:sz w:val="28"/>
          <w:szCs w:val="28"/>
        </w:rPr>
      </w:pPr>
      <w:r>
        <w:rPr>
          <w:rFonts w:hint="eastAsia"/>
          <w:sz w:val="28"/>
          <w:szCs w:val="28"/>
        </w:rPr>
        <w:t>1.所提供的证照、文件资料真实、完整、合法；</w:t>
      </w:r>
    </w:p>
    <w:p>
      <w:pPr>
        <w:adjustRightInd w:val="0"/>
        <w:snapToGrid w:val="0"/>
        <w:spacing w:line="360" w:lineRule="auto"/>
        <w:ind w:firstLine="560" w:firstLineChars="200"/>
        <w:rPr>
          <w:sz w:val="28"/>
          <w:szCs w:val="28"/>
        </w:rPr>
      </w:pPr>
      <w:r>
        <w:rPr>
          <w:rFonts w:hint="eastAsia"/>
          <w:sz w:val="28"/>
          <w:szCs w:val="28"/>
        </w:rPr>
        <w:t>2.遵守现行适用的安全生产法律、法规、标准规程及其他要求；</w:t>
      </w:r>
    </w:p>
    <w:p>
      <w:pPr>
        <w:adjustRightInd w:val="0"/>
        <w:snapToGrid w:val="0"/>
        <w:spacing w:line="360" w:lineRule="auto"/>
        <w:ind w:firstLine="560" w:firstLineChars="200"/>
        <w:rPr>
          <w:sz w:val="28"/>
          <w:szCs w:val="28"/>
        </w:rPr>
      </w:pPr>
      <w:r>
        <w:rPr>
          <w:rFonts w:hint="eastAsia"/>
          <w:sz w:val="28"/>
          <w:szCs w:val="28"/>
        </w:rPr>
        <w:t>3.承诺对评价过程中发现的安全隐患进行整改，并按照报告提出的安全防范措施建议进行落实；</w:t>
      </w:r>
    </w:p>
    <w:p>
      <w:pPr>
        <w:adjustRightInd w:val="0"/>
        <w:snapToGrid w:val="0"/>
        <w:spacing w:line="360" w:lineRule="auto"/>
        <w:ind w:firstLine="560" w:firstLineChars="200"/>
        <w:rPr>
          <w:sz w:val="28"/>
          <w:szCs w:val="28"/>
        </w:rPr>
      </w:pPr>
      <w:r>
        <w:rPr>
          <w:rFonts w:hint="eastAsia"/>
          <w:sz w:val="28"/>
          <w:szCs w:val="28"/>
        </w:rPr>
        <w:t>4.为评价工作的顺利开展提供便利条件，并遵守双方的保密承诺。</w:t>
      </w:r>
    </w:p>
    <w:p>
      <w:pPr>
        <w:adjustRightInd w:val="0"/>
        <w:snapToGrid w:val="0"/>
        <w:spacing w:line="360" w:lineRule="auto"/>
        <w:ind w:firstLine="560" w:firstLineChars="200"/>
        <w:rPr>
          <w:sz w:val="28"/>
          <w:szCs w:val="28"/>
        </w:rPr>
      </w:pPr>
    </w:p>
    <w:p>
      <w:pPr>
        <w:adjustRightInd w:val="0"/>
        <w:snapToGrid w:val="0"/>
        <w:spacing w:line="360" w:lineRule="auto"/>
        <w:ind w:firstLine="560" w:firstLineChars="200"/>
        <w:rPr>
          <w:sz w:val="28"/>
          <w:szCs w:val="28"/>
        </w:rPr>
      </w:pPr>
    </w:p>
    <w:p>
      <w:pPr>
        <w:adjustRightInd w:val="0"/>
        <w:snapToGrid w:val="0"/>
        <w:spacing w:line="360" w:lineRule="auto"/>
        <w:ind w:firstLine="560" w:firstLineChars="200"/>
        <w:rPr>
          <w:sz w:val="28"/>
          <w:szCs w:val="28"/>
        </w:rPr>
      </w:pPr>
    </w:p>
    <w:p>
      <w:pPr>
        <w:adjustRightInd w:val="0"/>
        <w:snapToGrid w:val="0"/>
        <w:spacing w:line="360" w:lineRule="auto"/>
        <w:ind w:firstLine="560" w:firstLineChars="200"/>
        <w:rPr>
          <w:sz w:val="28"/>
          <w:szCs w:val="28"/>
        </w:rPr>
      </w:pPr>
    </w:p>
    <w:p>
      <w:pPr>
        <w:adjustRightInd w:val="0"/>
        <w:snapToGrid w:val="0"/>
        <w:spacing w:line="360" w:lineRule="auto"/>
        <w:ind w:firstLine="560" w:firstLineChars="200"/>
        <w:rPr>
          <w:sz w:val="28"/>
          <w:szCs w:val="28"/>
        </w:rPr>
      </w:pPr>
    </w:p>
    <w:p>
      <w:pPr>
        <w:adjustRightInd w:val="0"/>
        <w:snapToGrid w:val="0"/>
        <w:spacing w:line="360" w:lineRule="auto"/>
        <w:ind w:firstLine="560" w:firstLineChars="200"/>
        <w:jc w:val="right"/>
        <w:rPr>
          <w:rFonts w:hint="eastAsia" w:eastAsia="宋体"/>
          <w:sz w:val="28"/>
          <w:szCs w:val="28"/>
          <w:lang w:eastAsia="zh-CN"/>
        </w:rPr>
      </w:pPr>
      <w:r>
        <w:rPr>
          <w:rFonts w:hint="eastAsia"/>
          <w:sz w:val="28"/>
          <w:szCs w:val="28"/>
          <w:lang w:eastAsia="zh-CN"/>
        </w:rPr>
        <w:t>斯伦贝谢油田技术（山东）有限公司</w:t>
      </w:r>
    </w:p>
    <w:p>
      <w:pPr>
        <w:wordWrap w:val="0"/>
        <w:adjustRightInd w:val="0"/>
        <w:snapToGrid w:val="0"/>
        <w:spacing w:line="360" w:lineRule="auto"/>
        <w:ind w:firstLine="560" w:firstLineChars="200"/>
        <w:jc w:val="right"/>
        <w:rPr>
          <w:rFonts w:hint="eastAsia"/>
          <w:sz w:val="28"/>
          <w:szCs w:val="28"/>
        </w:rPr>
      </w:pPr>
      <w:r>
        <w:rPr>
          <w:rFonts w:hint="eastAsia"/>
          <w:sz w:val="28"/>
          <w:szCs w:val="28"/>
        </w:rPr>
        <w:t xml:space="preserve">    20</w:t>
      </w:r>
      <w:r>
        <w:rPr>
          <w:rFonts w:hint="eastAsia"/>
          <w:sz w:val="28"/>
          <w:szCs w:val="28"/>
          <w:lang w:val="en-US" w:eastAsia="zh-CN"/>
        </w:rPr>
        <w:t>22</w:t>
      </w:r>
      <w:r>
        <w:rPr>
          <w:rFonts w:hint="eastAsia"/>
          <w:sz w:val="28"/>
          <w:szCs w:val="28"/>
        </w:rPr>
        <w:t>年</w:t>
      </w:r>
      <w:r>
        <w:rPr>
          <w:rFonts w:hint="eastAsia"/>
          <w:sz w:val="28"/>
          <w:szCs w:val="28"/>
          <w:lang w:val="en-US" w:eastAsia="zh-CN"/>
        </w:rPr>
        <w:t>01</w:t>
      </w:r>
      <w:r>
        <w:rPr>
          <w:rFonts w:hint="eastAsia"/>
          <w:sz w:val="28"/>
          <w:szCs w:val="28"/>
        </w:rPr>
        <w:t>月</w:t>
      </w:r>
    </w:p>
    <w:p>
      <w:pPr>
        <w:pStyle w:val="2"/>
        <w:wordWrap/>
        <w:rPr>
          <w:rFonts w:hint="eastAsia"/>
          <w:sz w:val="28"/>
          <w:szCs w:val="28"/>
        </w:rPr>
      </w:pPr>
    </w:p>
    <w:p>
      <w:pPr>
        <w:pStyle w:val="2"/>
        <w:wordWrap/>
        <w:rPr>
          <w:rFonts w:hint="eastAsia"/>
          <w:sz w:val="28"/>
          <w:szCs w:val="28"/>
        </w:rPr>
      </w:pPr>
    </w:p>
    <w:p>
      <w:pPr>
        <w:pStyle w:val="2"/>
        <w:wordWrap/>
        <w:rPr>
          <w:rFonts w:hint="eastAsia"/>
          <w:sz w:val="28"/>
          <w:szCs w:val="28"/>
        </w:rPr>
      </w:pPr>
    </w:p>
    <w:p>
      <w:pPr>
        <w:pStyle w:val="2"/>
        <w:wordWrap/>
        <w:rPr>
          <w:rFonts w:hint="eastAsia"/>
          <w:sz w:val="28"/>
          <w:szCs w:val="28"/>
        </w:rPr>
      </w:pPr>
    </w:p>
    <w:p>
      <w:pPr>
        <w:pStyle w:val="2"/>
        <w:wordWrap/>
        <w:rPr>
          <w:rFonts w:hint="eastAsia"/>
          <w:sz w:val="28"/>
          <w:szCs w:val="28"/>
        </w:rPr>
      </w:pPr>
    </w:p>
    <w:p>
      <w:pPr>
        <w:adjustRightInd w:val="0"/>
        <w:snapToGrid w:val="0"/>
        <w:spacing w:line="360" w:lineRule="auto"/>
        <w:ind w:firstLine="560" w:firstLineChars="200"/>
        <w:rPr>
          <w:sz w:val="28"/>
          <w:szCs w:val="28"/>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adjustRightInd w:val="0"/>
        <w:snapToGrid w:val="0"/>
        <w:spacing w:line="360" w:lineRule="auto"/>
        <w:jc w:val="center"/>
        <w:rPr>
          <w:rFonts w:eastAsia="黑体"/>
          <w:b/>
          <w:bCs/>
          <w:kern w:val="44"/>
          <w:sz w:val="32"/>
          <w:szCs w:val="32"/>
        </w:rPr>
      </w:pPr>
      <w:r>
        <w:rPr>
          <w:rFonts w:hint="eastAsia" w:eastAsia="黑体"/>
          <w:b/>
          <w:bCs/>
          <w:kern w:val="44"/>
          <w:sz w:val="32"/>
          <w:szCs w:val="32"/>
        </w:rPr>
        <w:t>前  言</w:t>
      </w:r>
    </w:p>
    <w:p>
      <w:pPr>
        <w:pStyle w:val="216"/>
        <w:adjustRightInd w:val="0"/>
        <w:snapToGrid w:val="0"/>
        <w:spacing w:after="0" w:line="360" w:lineRule="auto"/>
        <w:ind w:firstLine="560" w:firstLineChars="200"/>
        <w:rPr>
          <w:sz w:val="28"/>
          <w:szCs w:val="28"/>
        </w:rPr>
      </w:pPr>
      <w:r>
        <w:rPr>
          <w:rFonts w:hint="eastAsia"/>
          <w:sz w:val="28"/>
          <w:szCs w:val="28"/>
        </w:rPr>
        <w:t>斯伦贝谢油田技术（山东）有限公司作为斯伦贝谢在中国的全资独立法人子公司，是集MWD</w:t>
      </w:r>
      <w:r>
        <w:rPr>
          <w:rFonts w:hint="eastAsia"/>
          <w:sz w:val="28"/>
          <w:szCs w:val="28"/>
          <w:lang w:eastAsia="zh-CN"/>
        </w:rPr>
        <w:t>定向施工</w:t>
      </w:r>
      <w:r>
        <w:rPr>
          <w:rFonts w:hint="eastAsia"/>
          <w:sz w:val="28"/>
          <w:szCs w:val="28"/>
        </w:rPr>
        <w:t>、LWD随钻测井仪器的研发、制造、销售及工程技术服务于一身的专业化技术公司。该公司成立于</w:t>
      </w:r>
      <w:r>
        <w:rPr>
          <w:sz w:val="28"/>
          <w:szCs w:val="28"/>
        </w:rPr>
        <w:t>2000</w:t>
      </w:r>
      <w:r>
        <w:rPr>
          <w:rFonts w:hint="eastAsia"/>
          <w:sz w:val="28"/>
          <w:szCs w:val="28"/>
        </w:rPr>
        <w:t>年</w:t>
      </w:r>
      <w:r>
        <w:rPr>
          <w:sz w:val="28"/>
          <w:szCs w:val="28"/>
        </w:rPr>
        <w:t>7</w:t>
      </w:r>
      <w:r>
        <w:rPr>
          <w:rFonts w:hint="eastAsia"/>
          <w:sz w:val="28"/>
          <w:szCs w:val="28"/>
        </w:rPr>
        <w:t>月</w:t>
      </w:r>
      <w:r>
        <w:rPr>
          <w:sz w:val="28"/>
          <w:szCs w:val="28"/>
        </w:rPr>
        <w:t>26</w:t>
      </w:r>
      <w:r>
        <w:rPr>
          <w:rFonts w:hint="eastAsia"/>
          <w:sz w:val="28"/>
          <w:szCs w:val="28"/>
        </w:rPr>
        <w:t>日，住所位于东营市东营区登州路6</w:t>
      </w:r>
      <w:r>
        <w:rPr>
          <w:sz w:val="28"/>
          <w:szCs w:val="28"/>
        </w:rPr>
        <w:t>2</w:t>
      </w:r>
      <w:r>
        <w:rPr>
          <w:rFonts w:hint="eastAsia"/>
          <w:sz w:val="28"/>
          <w:szCs w:val="28"/>
        </w:rPr>
        <w:t>号，公司法定代表人何凤祥，注册资本玖仟伍佰万元整</w:t>
      </w:r>
      <w:r>
        <w:rPr>
          <w:rFonts w:hint="eastAsia"/>
          <w:color w:val="auto"/>
          <w:sz w:val="28"/>
          <w:szCs w:val="28"/>
        </w:rPr>
        <w:t>。</w:t>
      </w:r>
      <w:r>
        <w:rPr>
          <w:rFonts w:hint="eastAsia"/>
          <w:color w:val="auto"/>
          <w:sz w:val="28"/>
          <w:szCs w:val="28"/>
          <w:lang w:val="en-US" w:eastAsia="zh-CN"/>
        </w:rPr>
        <w:t>经</w:t>
      </w:r>
      <w:r>
        <w:rPr>
          <w:rFonts w:hint="eastAsia"/>
          <w:sz w:val="28"/>
          <w:szCs w:val="28"/>
          <w:lang w:val="en-US" w:eastAsia="zh-CN"/>
        </w:rPr>
        <w:t>营范围包括定向钻井、重新钻井；井下作业、试油；测井、测试、录井；井架的建立、修复和拆除；压裂作业；为石油和天然气开采提供的其他服务活动；页岩气技术咨询及服务；化工石油工程施工；石油钻采设备及仪器的技术开发、服务（不含中介服务）、生产、维修、租赁、产品销售及进出口；计算机及外设销售；外协承揽加工（依法须经批准的项目，经相关部门批准后方可开展经营活动）</w:t>
      </w:r>
      <w:r>
        <w:rPr>
          <w:rFonts w:hint="eastAsia"/>
          <w:sz w:val="28"/>
          <w:szCs w:val="28"/>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cs="Times New Roman"/>
          <w:color w:val="000000"/>
          <w:sz w:val="28"/>
          <w:szCs w:val="28"/>
          <w:lang w:val="en-US" w:eastAsia="zh-CN"/>
        </w:rPr>
      </w:pPr>
      <w:r>
        <w:rPr>
          <w:rFonts w:hint="eastAsia" w:cs="Times New Roman"/>
          <w:color w:val="000000"/>
          <w:sz w:val="28"/>
          <w:szCs w:val="28"/>
          <w:lang w:val="en-US" w:eastAsia="zh-CN"/>
        </w:rPr>
        <w:t>该</w:t>
      </w:r>
      <w:r>
        <w:rPr>
          <w:rFonts w:hint="default" w:ascii="Times New Roman" w:hAnsi="Times New Roman" w:eastAsia="宋体" w:cs="Times New Roman"/>
          <w:color w:val="000000"/>
          <w:sz w:val="28"/>
          <w:szCs w:val="28"/>
        </w:rPr>
        <w:t>公司</w:t>
      </w:r>
      <w:r>
        <w:rPr>
          <w:rFonts w:hint="default" w:ascii="Times New Roman" w:hAnsi="Times New Roman" w:cs="Times New Roman"/>
          <w:color w:val="000000"/>
          <w:sz w:val="28"/>
          <w:szCs w:val="28"/>
          <w:lang w:val="en-US" w:eastAsia="zh-CN"/>
        </w:rPr>
        <w:t>于200</w:t>
      </w:r>
      <w:r>
        <w:rPr>
          <w:rFonts w:hint="eastAsia" w:cs="Times New Roman"/>
          <w:color w:val="000000"/>
          <w:sz w:val="28"/>
          <w:szCs w:val="28"/>
          <w:lang w:val="en-US" w:eastAsia="zh-CN"/>
        </w:rPr>
        <w:t>7</w:t>
      </w:r>
      <w:r>
        <w:rPr>
          <w:rFonts w:hint="default" w:ascii="Times New Roman" w:hAnsi="Times New Roman" w:cs="Times New Roman"/>
          <w:color w:val="000000"/>
          <w:sz w:val="28"/>
          <w:szCs w:val="28"/>
          <w:lang w:val="en-US" w:eastAsia="zh-CN"/>
        </w:rPr>
        <w:t>年首次取得安全生产许可证，201</w:t>
      </w:r>
      <w:r>
        <w:rPr>
          <w:rFonts w:hint="eastAsia" w:cs="Times New Roman"/>
          <w:color w:val="000000"/>
          <w:sz w:val="28"/>
          <w:szCs w:val="28"/>
          <w:lang w:val="en-US" w:eastAsia="zh-CN"/>
        </w:rPr>
        <w:t>7</w:t>
      </w:r>
      <w:r>
        <w:rPr>
          <w:rFonts w:hint="default" w:ascii="Times New Roman" w:hAnsi="Times New Roman" w:cs="Times New Roman"/>
          <w:color w:val="000000"/>
          <w:sz w:val="28"/>
          <w:szCs w:val="28"/>
          <w:lang w:val="en-US" w:eastAsia="zh-CN"/>
        </w:rPr>
        <w:t>年</w:t>
      </w:r>
      <w:r>
        <w:rPr>
          <w:rFonts w:hint="eastAsia" w:cs="Times New Roman"/>
          <w:color w:val="000000"/>
          <w:sz w:val="28"/>
          <w:szCs w:val="28"/>
          <w:lang w:val="en-US" w:eastAsia="zh-CN"/>
        </w:rPr>
        <w:t>2月对</w:t>
      </w:r>
      <w:r>
        <w:rPr>
          <w:rFonts w:hint="default" w:ascii="Times New Roman" w:hAnsi="Times New Roman" w:cs="Times New Roman"/>
          <w:color w:val="000000"/>
          <w:sz w:val="28"/>
          <w:szCs w:val="28"/>
          <w:lang w:val="en-US" w:eastAsia="zh-CN"/>
        </w:rPr>
        <w:t>安全生产许可证</w:t>
      </w:r>
      <w:r>
        <w:rPr>
          <w:rFonts w:hint="eastAsia" w:cs="Times New Roman"/>
          <w:color w:val="000000"/>
          <w:sz w:val="28"/>
          <w:szCs w:val="28"/>
          <w:lang w:val="en-US" w:eastAsia="zh-CN"/>
        </w:rPr>
        <w:t>办理了延期，有效期至2019年12月</w:t>
      </w:r>
      <w:r>
        <w:rPr>
          <w:rFonts w:hint="default" w:ascii="Times New Roman" w:hAnsi="Times New Roman" w:cs="Times New Roman"/>
          <w:color w:val="000000"/>
          <w:sz w:val="28"/>
          <w:szCs w:val="28"/>
          <w:lang w:val="en-US" w:eastAsia="zh-CN"/>
        </w:rPr>
        <w:t>。</w:t>
      </w:r>
      <w:r>
        <w:rPr>
          <w:rFonts w:hint="eastAsia" w:cs="Times New Roman"/>
          <w:color w:val="000000"/>
          <w:sz w:val="28"/>
          <w:szCs w:val="28"/>
          <w:lang w:val="en-US" w:eastAsia="zh-CN"/>
        </w:rPr>
        <w:t>依据</w:t>
      </w:r>
      <w:r>
        <w:rPr>
          <w:rFonts w:hint="default" w:ascii="Times New Roman" w:hAnsi="Times New Roman" w:cs="Times New Roman"/>
          <w:color w:val="000000"/>
          <w:sz w:val="28"/>
          <w:szCs w:val="28"/>
          <w:lang w:val="en-US" w:eastAsia="zh-CN"/>
        </w:rPr>
        <w:t>2019年7月31日山东省应急管理厅发布的《关于石油天然气技术服务企业不再实施安全许可的通知》（鲁应急函</w:t>
      </w:r>
      <w:r>
        <w:rPr>
          <w:rFonts w:hint="default" w:ascii="Times New Roman" w:hAnsi="Times New Roman" w:eastAsia="宋体" w:cs="Times New Roman"/>
          <w:color w:val="000000"/>
          <w:sz w:val="28"/>
          <w:szCs w:val="28"/>
          <w:highlight w:val="none"/>
        </w:rPr>
        <w:t>[201</w:t>
      </w:r>
      <w:r>
        <w:rPr>
          <w:rFonts w:hint="default" w:ascii="Times New Roman" w:hAnsi="Times New Roman" w:cs="Times New Roman"/>
          <w:color w:val="000000"/>
          <w:sz w:val="28"/>
          <w:szCs w:val="28"/>
          <w:highlight w:val="none"/>
          <w:lang w:val="en-US" w:eastAsia="zh-CN"/>
        </w:rPr>
        <w:t>9</w:t>
      </w:r>
      <w:r>
        <w:rPr>
          <w:rFonts w:hint="default" w:ascii="Times New Roman" w:hAnsi="Times New Roman" w:eastAsia="宋体" w:cs="Times New Roman"/>
          <w:color w:val="000000"/>
          <w:sz w:val="28"/>
          <w:szCs w:val="28"/>
          <w:highlight w:val="none"/>
        </w:rPr>
        <w:t>]</w:t>
      </w:r>
      <w:r>
        <w:rPr>
          <w:rFonts w:hint="default" w:ascii="Times New Roman" w:hAnsi="Times New Roman" w:cs="Times New Roman"/>
          <w:color w:val="000000"/>
          <w:sz w:val="28"/>
          <w:szCs w:val="28"/>
          <w:lang w:val="en-US" w:eastAsia="zh-CN"/>
        </w:rPr>
        <w:t>46号），公司安全生产许可证于20</w:t>
      </w:r>
      <w:r>
        <w:rPr>
          <w:rFonts w:hint="eastAsia" w:cs="Times New Roman"/>
          <w:color w:val="000000"/>
          <w:sz w:val="28"/>
          <w:szCs w:val="28"/>
          <w:lang w:val="en-US" w:eastAsia="zh-CN"/>
        </w:rPr>
        <w:t>19</w:t>
      </w:r>
      <w:r>
        <w:rPr>
          <w:rFonts w:hint="default" w:ascii="Times New Roman" w:hAnsi="Times New Roman" w:cs="Times New Roman"/>
          <w:color w:val="000000"/>
          <w:sz w:val="28"/>
          <w:szCs w:val="28"/>
          <w:lang w:val="en-US" w:eastAsia="zh-CN"/>
        </w:rPr>
        <w:t>年</w:t>
      </w:r>
      <w:r>
        <w:rPr>
          <w:rFonts w:hint="eastAsia" w:cs="Times New Roman"/>
          <w:color w:val="000000"/>
          <w:sz w:val="28"/>
          <w:szCs w:val="28"/>
          <w:lang w:val="en-US" w:eastAsia="zh-CN"/>
        </w:rPr>
        <w:t>12月11日</w:t>
      </w:r>
      <w:r>
        <w:rPr>
          <w:rFonts w:hint="default" w:ascii="Times New Roman" w:hAnsi="Times New Roman" w:cs="Times New Roman"/>
          <w:color w:val="000000"/>
          <w:sz w:val="28"/>
          <w:szCs w:val="28"/>
          <w:lang w:val="en-US" w:eastAsia="zh-CN"/>
        </w:rPr>
        <w:t>到期后未进行</w:t>
      </w:r>
      <w:r>
        <w:rPr>
          <w:rFonts w:hint="eastAsia" w:cs="Times New Roman"/>
          <w:color w:val="000000"/>
          <w:sz w:val="28"/>
          <w:szCs w:val="28"/>
          <w:lang w:val="en-US" w:eastAsia="zh-CN"/>
        </w:rPr>
        <w:t>延期</w:t>
      </w:r>
      <w:r>
        <w:rPr>
          <w:rFonts w:hint="default" w:ascii="Times New Roman" w:hAnsi="Times New Roman" w:cs="Times New Roman"/>
          <w:color w:val="000000"/>
          <w:sz w:val="28"/>
          <w:szCs w:val="28"/>
          <w:lang w:val="en-US" w:eastAsia="zh-CN"/>
        </w:rPr>
        <w:t>。根据《关于对钻井、物探、测井、录井、井下作业、油建企业实施安全生产许可的通知》（鲁应急函</w:t>
      </w:r>
      <w:r>
        <w:rPr>
          <w:rFonts w:hint="default" w:ascii="Times New Roman" w:hAnsi="Times New Roman" w:eastAsia="宋体" w:cs="Times New Roman"/>
          <w:color w:val="000000"/>
          <w:sz w:val="28"/>
          <w:szCs w:val="28"/>
          <w:highlight w:val="none"/>
        </w:rPr>
        <w:t>[20</w:t>
      </w:r>
      <w:r>
        <w:rPr>
          <w:rFonts w:hint="default" w:ascii="Times New Roman" w:hAnsi="Times New Roman" w:cs="Times New Roman"/>
          <w:color w:val="000000"/>
          <w:sz w:val="28"/>
          <w:szCs w:val="28"/>
          <w:highlight w:val="none"/>
          <w:lang w:val="en-US" w:eastAsia="zh-CN"/>
        </w:rPr>
        <w:t>21</w:t>
      </w:r>
      <w:r>
        <w:rPr>
          <w:rFonts w:hint="default" w:ascii="Times New Roman" w:hAnsi="Times New Roman" w:eastAsia="宋体" w:cs="Times New Roman"/>
          <w:color w:val="000000"/>
          <w:sz w:val="28"/>
          <w:szCs w:val="28"/>
          <w:highlight w:val="none"/>
        </w:rPr>
        <w:t>]</w:t>
      </w:r>
      <w:r>
        <w:rPr>
          <w:rFonts w:hint="default" w:ascii="Times New Roman" w:hAnsi="Times New Roman" w:cs="Times New Roman"/>
          <w:color w:val="000000"/>
          <w:sz w:val="28"/>
          <w:szCs w:val="28"/>
          <w:lang w:val="en-US" w:eastAsia="zh-CN"/>
        </w:rPr>
        <w:t>86号）、《东营市应急管理局关于进一步规范非煤矿矿山《安全生产许可证》颁发管理有关问题的函》（东应急函字</w:t>
      </w:r>
      <w:r>
        <w:rPr>
          <w:rFonts w:hint="default" w:ascii="Times New Roman" w:hAnsi="Times New Roman" w:eastAsia="宋体" w:cs="Times New Roman"/>
          <w:color w:val="000000"/>
          <w:sz w:val="28"/>
          <w:szCs w:val="28"/>
          <w:highlight w:val="none"/>
        </w:rPr>
        <w:t>[20</w:t>
      </w:r>
      <w:r>
        <w:rPr>
          <w:rFonts w:hint="default" w:ascii="Times New Roman" w:hAnsi="Times New Roman" w:cs="Times New Roman"/>
          <w:color w:val="000000"/>
          <w:sz w:val="28"/>
          <w:szCs w:val="28"/>
          <w:highlight w:val="none"/>
          <w:lang w:val="en-US" w:eastAsia="zh-CN"/>
        </w:rPr>
        <w:t>21</w:t>
      </w:r>
      <w:r>
        <w:rPr>
          <w:rFonts w:hint="default" w:ascii="Times New Roman" w:hAnsi="Times New Roman" w:eastAsia="宋体" w:cs="Times New Roman"/>
          <w:color w:val="000000"/>
          <w:sz w:val="28"/>
          <w:szCs w:val="28"/>
          <w:highlight w:val="none"/>
        </w:rPr>
        <w:t>]</w:t>
      </w:r>
      <w:r>
        <w:rPr>
          <w:rFonts w:hint="default" w:ascii="Times New Roman" w:hAnsi="Times New Roman" w:cs="Times New Roman"/>
          <w:color w:val="000000"/>
          <w:sz w:val="28"/>
          <w:szCs w:val="28"/>
          <w:lang w:val="en-US" w:eastAsia="zh-CN"/>
        </w:rPr>
        <w:t>50号）等文件要求，</w:t>
      </w:r>
      <w:r>
        <w:rPr>
          <w:rFonts w:hint="eastAsia"/>
          <w:sz w:val="28"/>
          <w:szCs w:val="28"/>
        </w:rPr>
        <w:t>斯伦贝谢油田技术（山东）有限公司</w:t>
      </w:r>
      <w:r>
        <w:rPr>
          <w:rFonts w:hint="default" w:ascii="Times New Roman" w:hAnsi="Times New Roman" w:cs="Times New Roman"/>
          <w:color w:val="000000"/>
          <w:sz w:val="28"/>
          <w:szCs w:val="28"/>
          <w:lang w:val="en-US" w:eastAsia="zh-CN"/>
        </w:rPr>
        <w:t>现重新申请取得</w:t>
      </w:r>
      <w:r>
        <w:rPr>
          <w:rFonts w:hint="eastAsia" w:cs="Times New Roman"/>
          <w:color w:val="000000"/>
          <w:sz w:val="28"/>
          <w:szCs w:val="28"/>
          <w:lang w:val="en-US" w:eastAsia="zh-CN"/>
        </w:rPr>
        <w:t>钻井（定向施工）</w:t>
      </w:r>
      <w:r>
        <w:rPr>
          <w:rFonts w:hint="default" w:ascii="Times New Roman" w:hAnsi="Times New Roman" w:cs="Times New Roman"/>
          <w:color w:val="000000"/>
          <w:sz w:val="28"/>
          <w:szCs w:val="28"/>
          <w:lang w:val="en-US" w:eastAsia="zh-CN"/>
        </w:rPr>
        <w:t>项目安全生产许可证。</w:t>
      </w:r>
    </w:p>
    <w:p>
      <w:pPr>
        <w:adjustRightInd w:val="0"/>
        <w:snapToGrid w:val="0"/>
        <w:spacing w:line="360" w:lineRule="auto"/>
        <w:ind w:firstLine="560" w:firstLineChars="200"/>
        <w:rPr>
          <w:rFonts w:hint="default"/>
          <w:color w:val="auto"/>
          <w:sz w:val="28"/>
          <w:szCs w:val="28"/>
          <w:lang w:val="en-US"/>
        </w:rPr>
      </w:pPr>
      <w:r>
        <w:rPr>
          <w:rFonts w:hint="eastAsia"/>
          <w:color w:val="auto"/>
          <w:sz w:val="28"/>
          <w:szCs w:val="28"/>
          <w:lang w:val="en-US" w:eastAsia="zh-CN"/>
        </w:rPr>
        <w:t>该</w:t>
      </w:r>
      <w:r>
        <w:rPr>
          <w:rFonts w:hint="eastAsia"/>
          <w:color w:val="auto"/>
          <w:sz w:val="28"/>
          <w:szCs w:val="28"/>
        </w:rPr>
        <w:t>公司现有</w:t>
      </w:r>
      <w:r>
        <w:rPr>
          <w:rFonts w:hint="eastAsia"/>
          <w:color w:val="auto"/>
          <w:sz w:val="28"/>
          <w:szCs w:val="28"/>
          <w:lang w:val="en-US" w:eastAsia="zh-CN"/>
        </w:rPr>
        <w:t>员</w:t>
      </w:r>
      <w:r>
        <w:rPr>
          <w:rFonts w:hint="eastAsia"/>
          <w:color w:val="auto"/>
          <w:sz w:val="28"/>
          <w:szCs w:val="28"/>
        </w:rPr>
        <w:t>工</w:t>
      </w:r>
      <w:r>
        <w:rPr>
          <w:rFonts w:hint="eastAsia"/>
          <w:color w:val="auto"/>
          <w:sz w:val="28"/>
          <w:szCs w:val="28"/>
          <w:lang w:val="en-US" w:eastAsia="zh-CN"/>
        </w:rPr>
        <w:t>255人</w:t>
      </w:r>
      <w:r>
        <w:rPr>
          <w:rFonts w:hint="eastAsia"/>
          <w:color w:val="auto"/>
          <w:sz w:val="28"/>
          <w:szCs w:val="28"/>
        </w:rPr>
        <w:t>，</w:t>
      </w:r>
      <w:r>
        <w:rPr>
          <w:rFonts w:hint="eastAsia"/>
          <w:color w:val="auto"/>
          <w:sz w:val="28"/>
          <w:szCs w:val="28"/>
          <w:lang w:val="en-US" w:eastAsia="zh-CN"/>
        </w:rPr>
        <w:t>其中项目部现场钻井（定向施工）作业人员为99人，设置1名安全总监，成立了安全管理机构——安全部，并配备3名专职安全管理人员。</w:t>
      </w:r>
    </w:p>
    <w:p>
      <w:pPr>
        <w:adjustRightInd w:val="0"/>
        <w:snapToGrid w:val="0"/>
        <w:spacing w:line="360" w:lineRule="auto"/>
        <w:ind w:firstLine="560" w:firstLineChars="200"/>
        <w:rPr>
          <w:sz w:val="28"/>
          <w:szCs w:val="28"/>
        </w:rPr>
      </w:pPr>
      <w:r>
        <w:rPr>
          <w:rFonts w:hint="eastAsia"/>
          <w:sz w:val="28"/>
          <w:szCs w:val="28"/>
        </w:rPr>
        <w:t>根据</w:t>
      </w:r>
      <w:r>
        <w:rPr>
          <w:rFonts w:hint="eastAsia"/>
          <w:color w:val="auto"/>
          <w:sz w:val="28"/>
          <w:szCs w:val="28"/>
        </w:rPr>
        <w:t>《中华人民共和国安全生产法》（主席令</w:t>
      </w:r>
      <w:r>
        <w:rPr>
          <w:rFonts w:hint="eastAsia"/>
          <w:color w:val="auto"/>
          <w:sz w:val="28"/>
          <w:szCs w:val="28"/>
          <w:lang w:val="en-US" w:eastAsia="zh-CN"/>
        </w:rPr>
        <w:t>[2002]第70号，经第13号，</w:t>
      </w:r>
      <w:r>
        <w:rPr>
          <w:rFonts w:hint="eastAsia"/>
          <w:color w:val="auto"/>
          <w:sz w:val="28"/>
          <w:szCs w:val="28"/>
        </w:rPr>
        <w:t>第</w:t>
      </w:r>
      <w:r>
        <w:rPr>
          <w:rFonts w:hint="eastAsia"/>
          <w:color w:val="auto"/>
          <w:sz w:val="28"/>
          <w:szCs w:val="28"/>
          <w:lang w:val="en-US" w:eastAsia="zh-CN"/>
        </w:rPr>
        <w:t>88</w:t>
      </w:r>
      <w:r>
        <w:rPr>
          <w:rFonts w:hint="eastAsia"/>
          <w:color w:val="auto"/>
          <w:sz w:val="28"/>
          <w:szCs w:val="28"/>
        </w:rPr>
        <w:t>号</w:t>
      </w:r>
      <w:r>
        <w:rPr>
          <w:rFonts w:hint="eastAsia"/>
          <w:color w:val="auto"/>
          <w:sz w:val="28"/>
          <w:szCs w:val="28"/>
          <w:lang w:val="en-US" w:eastAsia="zh-CN"/>
        </w:rPr>
        <w:t>修订</w:t>
      </w:r>
      <w:r>
        <w:rPr>
          <w:rFonts w:hint="eastAsia"/>
          <w:color w:val="auto"/>
          <w:sz w:val="28"/>
          <w:szCs w:val="28"/>
        </w:rPr>
        <w:t>）、《</w:t>
      </w:r>
      <w:r>
        <w:rPr>
          <w:rFonts w:hint="eastAsia"/>
          <w:sz w:val="28"/>
          <w:szCs w:val="28"/>
        </w:rPr>
        <w:t>安全生产许可证条例》（国务院令[2004]第397号，2014修订版）、《非煤矿矿山企业安全生产许可证实施办法》（国家安全生产监督管理总局令[2009]第20号，2015修订版）、《山东省非煤矿矿山企业安全生产许可证实施方案》（鲁安监发[2009]133号）等规定的要</w:t>
      </w:r>
      <w:r>
        <w:rPr>
          <w:rFonts w:hint="eastAsia"/>
          <w:color w:val="auto"/>
          <w:sz w:val="28"/>
          <w:szCs w:val="28"/>
        </w:rPr>
        <w:t>求，为办理非煤矿矿山企业安全生产许可证，</w:t>
      </w:r>
      <w:r>
        <w:rPr>
          <w:rFonts w:hint="eastAsia"/>
          <w:color w:val="auto"/>
          <w:sz w:val="28"/>
          <w:szCs w:val="28"/>
          <w:lang w:eastAsia="zh-CN"/>
        </w:rPr>
        <w:t>斯</w:t>
      </w:r>
      <w:r>
        <w:rPr>
          <w:rFonts w:hint="eastAsia"/>
          <w:sz w:val="28"/>
          <w:szCs w:val="28"/>
          <w:lang w:eastAsia="zh-CN"/>
        </w:rPr>
        <w:t>伦贝谢油田技术（山东）有限公司</w:t>
      </w:r>
      <w:r>
        <w:rPr>
          <w:rFonts w:hint="eastAsia"/>
          <w:sz w:val="28"/>
          <w:szCs w:val="28"/>
        </w:rPr>
        <w:t>委托我公司对其</w:t>
      </w:r>
      <w:r>
        <w:rPr>
          <w:rFonts w:hint="eastAsia"/>
          <w:color w:val="auto"/>
          <w:sz w:val="28"/>
          <w:szCs w:val="28"/>
          <w:lang w:val="en-US" w:eastAsia="zh-CN"/>
        </w:rPr>
        <w:t>钻井（定向施工）项目</w:t>
      </w:r>
      <w:r>
        <w:rPr>
          <w:rFonts w:hint="eastAsia"/>
          <w:sz w:val="28"/>
          <w:szCs w:val="28"/>
        </w:rPr>
        <w:t>进行安全现状评价。</w:t>
      </w:r>
    </w:p>
    <w:p>
      <w:pPr>
        <w:adjustRightInd w:val="0"/>
        <w:snapToGrid w:val="0"/>
        <w:spacing w:line="360" w:lineRule="auto"/>
        <w:ind w:firstLine="560" w:firstLineChars="200"/>
        <w:rPr>
          <w:sz w:val="28"/>
          <w:szCs w:val="28"/>
        </w:rPr>
      </w:pPr>
      <w:r>
        <w:rPr>
          <w:rFonts w:hint="eastAsia"/>
          <w:sz w:val="28"/>
          <w:szCs w:val="28"/>
        </w:rPr>
        <w:t>我公司接到委托后，成立了评价项目组，按照《安全评价通则》（AQ8001-2007）的要求，进</w:t>
      </w:r>
      <w:r>
        <w:rPr>
          <w:rFonts w:hint="eastAsia"/>
          <w:color w:val="auto"/>
          <w:sz w:val="28"/>
          <w:szCs w:val="28"/>
        </w:rPr>
        <w:t>行了资料与标准收集、现场调研、工程分析、危险与有害因素分析、评价，</w:t>
      </w:r>
      <w:r>
        <w:rPr>
          <w:rFonts w:hint="eastAsia"/>
          <w:sz w:val="28"/>
          <w:szCs w:val="28"/>
        </w:rPr>
        <w:t>并在此基础上提出了安全对策措施建议，最后编制完成了本安全现状评价报告。</w:t>
      </w:r>
    </w:p>
    <w:p>
      <w:pPr>
        <w:adjustRightInd w:val="0"/>
        <w:snapToGrid w:val="0"/>
        <w:spacing w:line="360" w:lineRule="auto"/>
        <w:ind w:firstLine="560" w:firstLineChars="200"/>
        <w:rPr>
          <w:sz w:val="28"/>
          <w:szCs w:val="28"/>
        </w:rPr>
      </w:pPr>
      <w:r>
        <w:rPr>
          <w:rFonts w:hint="eastAsia"/>
          <w:sz w:val="28"/>
          <w:szCs w:val="28"/>
        </w:rPr>
        <w:t>此次安全评价工作，自始至终都得到了</w:t>
      </w:r>
      <w:r>
        <w:rPr>
          <w:rFonts w:hint="eastAsia"/>
          <w:sz w:val="28"/>
          <w:szCs w:val="28"/>
          <w:lang w:eastAsia="zh-CN"/>
        </w:rPr>
        <w:t>斯伦贝谢油田技术（山东）有限公司</w:t>
      </w:r>
      <w:r>
        <w:rPr>
          <w:rFonts w:hint="eastAsia"/>
          <w:sz w:val="28"/>
          <w:szCs w:val="28"/>
        </w:rPr>
        <w:t>领导和员工的大力支持和配合，在此表示衷心的感谢！</w:t>
      </w:r>
    </w:p>
    <w:p>
      <w:pPr>
        <w:adjustRightInd w:val="0"/>
        <w:snapToGrid w:val="0"/>
        <w:spacing w:line="360" w:lineRule="auto"/>
        <w:ind w:firstLine="560" w:firstLineChars="200"/>
        <w:jc w:val="right"/>
        <w:rPr>
          <w:sz w:val="28"/>
          <w:szCs w:val="28"/>
        </w:rPr>
      </w:pPr>
      <w:r>
        <w:rPr>
          <w:rFonts w:hint="eastAsia"/>
          <w:sz w:val="28"/>
          <w:szCs w:val="28"/>
        </w:rPr>
        <w:t>评价</w:t>
      </w:r>
      <w:r>
        <w:rPr>
          <w:sz w:val="28"/>
          <w:szCs w:val="28"/>
        </w:rPr>
        <w:t>项目组</w:t>
      </w:r>
    </w:p>
    <w:p>
      <w:pPr>
        <w:adjustRightInd w:val="0"/>
        <w:snapToGrid w:val="0"/>
        <w:spacing w:line="360" w:lineRule="auto"/>
        <w:ind w:firstLine="560" w:firstLineChars="200"/>
        <w:jc w:val="right"/>
        <w:rPr>
          <w:sz w:val="28"/>
          <w:szCs w:val="28"/>
        </w:rPr>
      </w:pPr>
      <w:r>
        <w:rPr>
          <w:rFonts w:hint="eastAsia"/>
          <w:sz w:val="28"/>
          <w:szCs w:val="28"/>
        </w:rPr>
        <w:t>20</w:t>
      </w:r>
      <w:r>
        <w:rPr>
          <w:rFonts w:hint="eastAsia"/>
          <w:sz w:val="28"/>
          <w:szCs w:val="28"/>
          <w:lang w:val="en-US" w:eastAsia="zh-CN"/>
        </w:rPr>
        <w:t>22</w:t>
      </w:r>
      <w:r>
        <w:rPr>
          <w:rFonts w:hint="eastAsia"/>
          <w:sz w:val="28"/>
          <w:szCs w:val="28"/>
        </w:rPr>
        <w:t>年</w:t>
      </w:r>
      <w:r>
        <w:rPr>
          <w:rFonts w:hint="eastAsia"/>
          <w:sz w:val="28"/>
          <w:szCs w:val="28"/>
          <w:lang w:val="en-US" w:eastAsia="zh-CN"/>
        </w:rPr>
        <w:t>8</w:t>
      </w:r>
      <w:r>
        <w:rPr>
          <w:rFonts w:hint="eastAsia"/>
          <w:sz w:val="28"/>
          <w:szCs w:val="28"/>
        </w:rPr>
        <w:t>月</w:t>
      </w:r>
    </w:p>
    <w:p>
      <w:pPr>
        <w:widowControl/>
        <w:adjustRightInd w:val="0"/>
        <w:snapToGrid w:val="0"/>
        <w:spacing w:line="360" w:lineRule="auto"/>
        <w:ind w:firstLine="640" w:firstLineChars="200"/>
        <w:jc w:val="center"/>
        <w:rPr>
          <w:b/>
          <w:bCs/>
          <w:kern w:val="0"/>
          <w:sz w:val="32"/>
          <w:szCs w:val="32"/>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adjustRightInd w:val="0"/>
        <w:snapToGrid w:val="0"/>
        <w:spacing w:line="360" w:lineRule="auto"/>
        <w:jc w:val="center"/>
        <w:rPr>
          <w:rFonts w:eastAsia="黑体"/>
          <w:b/>
          <w:bCs/>
          <w:kern w:val="44"/>
          <w:sz w:val="36"/>
          <w:szCs w:val="36"/>
        </w:rPr>
      </w:pPr>
      <w:r>
        <w:rPr>
          <w:rFonts w:hint="eastAsia" w:eastAsia="黑体"/>
          <w:b/>
          <w:bCs/>
          <w:kern w:val="44"/>
          <w:sz w:val="36"/>
          <w:szCs w:val="36"/>
        </w:rPr>
        <w:t>目   录</w:t>
      </w:r>
    </w:p>
    <w:p>
      <w:pPr>
        <w:pStyle w:val="37"/>
        <w:tabs>
          <w:tab w:val="right" w:leader="dot" w:pos="8306"/>
          <w:tab w:val="clear" w:pos="8302"/>
        </w:tabs>
      </w:pPr>
      <w:r>
        <w:rPr>
          <w:sz w:val="24"/>
          <w:szCs w:val="24"/>
        </w:rPr>
        <w:fldChar w:fldCharType="begin"/>
      </w:r>
      <w:r>
        <w:rPr>
          <w:sz w:val="24"/>
          <w:szCs w:val="24"/>
        </w:rPr>
        <w:instrText xml:space="preserve"> TOC \o "1-2" \h \z \u </w:instrText>
      </w:r>
      <w:r>
        <w:rPr>
          <w:sz w:val="24"/>
          <w:szCs w:val="24"/>
        </w:rPr>
        <w:fldChar w:fldCharType="separate"/>
      </w:r>
      <w:r>
        <w:rPr>
          <w:szCs w:val="24"/>
        </w:rPr>
        <w:fldChar w:fldCharType="begin"/>
      </w:r>
      <w:r>
        <w:rPr>
          <w:szCs w:val="24"/>
        </w:rPr>
        <w:instrText xml:space="preserve"> HYPERLINK \l _Toc20820 </w:instrText>
      </w:r>
      <w:r>
        <w:rPr>
          <w:szCs w:val="24"/>
        </w:rPr>
        <w:fldChar w:fldCharType="separate"/>
      </w:r>
      <w:r>
        <w:rPr>
          <w:rFonts w:hint="eastAsia" w:eastAsia="楷体_GB2312"/>
          <w:szCs w:val="36"/>
        </w:rPr>
        <w:t>1</w:t>
      </w:r>
      <w:r>
        <w:rPr>
          <w:rFonts w:eastAsia="楷体_GB2312"/>
          <w:szCs w:val="36"/>
        </w:rPr>
        <w:t xml:space="preserve"> </w:t>
      </w:r>
      <w:r>
        <w:rPr>
          <w:rFonts w:hint="eastAsia" w:eastAsia="楷体_GB2312"/>
          <w:szCs w:val="36"/>
        </w:rPr>
        <w:t>总则</w:t>
      </w:r>
      <w:r>
        <w:tab/>
      </w:r>
      <w:r>
        <w:fldChar w:fldCharType="begin"/>
      </w:r>
      <w:r>
        <w:instrText xml:space="preserve"> PAGEREF _Toc20820 \h </w:instrText>
      </w:r>
      <w:r>
        <w:fldChar w:fldCharType="separate"/>
      </w:r>
      <w:r>
        <w:t>1</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_Toc2541 </w:instrText>
      </w:r>
      <w:r>
        <w:rPr>
          <w:szCs w:val="24"/>
        </w:rPr>
        <w:fldChar w:fldCharType="separate"/>
      </w:r>
      <w:r>
        <w:rPr>
          <w:rFonts w:hint="eastAsia" w:ascii="Times New Roman" w:hAnsi="Times New Roman"/>
          <w:bCs/>
          <w:szCs w:val="32"/>
        </w:rPr>
        <w:t>1.1</w:t>
      </w:r>
      <w:r>
        <w:rPr>
          <w:rFonts w:ascii="Times New Roman" w:hAnsi="Times New Roman"/>
          <w:bCs/>
          <w:szCs w:val="32"/>
        </w:rPr>
        <w:t xml:space="preserve"> </w:t>
      </w:r>
      <w:r>
        <w:rPr>
          <w:rFonts w:hint="eastAsia" w:ascii="Times New Roman" w:hAnsi="Times New Roman"/>
          <w:bCs/>
          <w:szCs w:val="32"/>
        </w:rPr>
        <w:t>评价目的</w:t>
      </w:r>
      <w:r>
        <w:tab/>
      </w:r>
      <w:r>
        <w:fldChar w:fldCharType="begin"/>
      </w:r>
      <w:r>
        <w:instrText xml:space="preserve"> PAGEREF _Toc2541 \h </w:instrText>
      </w:r>
      <w:r>
        <w:fldChar w:fldCharType="separate"/>
      </w:r>
      <w:r>
        <w:t>1</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_Toc24073 </w:instrText>
      </w:r>
      <w:r>
        <w:rPr>
          <w:szCs w:val="24"/>
        </w:rPr>
        <w:fldChar w:fldCharType="separate"/>
      </w:r>
      <w:r>
        <w:rPr>
          <w:rFonts w:hint="eastAsia" w:ascii="Times New Roman" w:hAnsi="Times New Roman"/>
          <w:bCs/>
          <w:szCs w:val="32"/>
        </w:rPr>
        <w:t>1.2</w:t>
      </w:r>
      <w:r>
        <w:rPr>
          <w:rFonts w:ascii="Times New Roman" w:hAnsi="Times New Roman"/>
          <w:bCs/>
          <w:szCs w:val="32"/>
        </w:rPr>
        <w:t xml:space="preserve"> </w:t>
      </w:r>
      <w:r>
        <w:rPr>
          <w:rFonts w:hint="eastAsia" w:ascii="Times New Roman" w:hAnsi="Times New Roman"/>
          <w:bCs/>
          <w:szCs w:val="32"/>
        </w:rPr>
        <w:t>评价依据</w:t>
      </w:r>
      <w:r>
        <w:tab/>
      </w:r>
      <w:r>
        <w:fldChar w:fldCharType="begin"/>
      </w:r>
      <w:r>
        <w:instrText xml:space="preserve"> PAGEREF _Toc24073 \h </w:instrText>
      </w:r>
      <w:r>
        <w:fldChar w:fldCharType="separate"/>
      </w:r>
      <w:r>
        <w:t>1</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_Toc30770 </w:instrText>
      </w:r>
      <w:r>
        <w:rPr>
          <w:szCs w:val="24"/>
        </w:rPr>
        <w:fldChar w:fldCharType="separate"/>
      </w:r>
      <w:r>
        <w:rPr>
          <w:rFonts w:hint="eastAsia" w:ascii="Times New Roman" w:hAnsi="Times New Roman"/>
          <w:bCs/>
          <w:szCs w:val="32"/>
        </w:rPr>
        <w:t>1.3</w:t>
      </w:r>
      <w:r>
        <w:rPr>
          <w:rFonts w:ascii="Times New Roman" w:hAnsi="Times New Roman"/>
          <w:bCs/>
          <w:szCs w:val="32"/>
        </w:rPr>
        <w:t xml:space="preserve"> </w:t>
      </w:r>
      <w:r>
        <w:rPr>
          <w:rFonts w:hint="eastAsia" w:ascii="Times New Roman" w:hAnsi="Times New Roman"/>
          <w:bCs/>
          <w:szCs w:val="32"/>
        </w:rPr>
        <w:t>评价范围</w:t>
      </w:r>
      <w:r>
        <w:tab/>
      </w:r>
      <w:r>
        <w:fldChar w:fldCharType="begin"/>
      </w:r>
      <w:r>
        <w:instrText xml:space="preserve"> PAGEREF _Toc30770 \h </w:instrText>
      </w:r>
      <w:r>
        <w:fldChar w:fldCharType="separate"/>
      </w:r>
      <w:r>
        <w:t>7</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_Toc30126 </w:instrText>
      </w:r>
      <w:r>
        <w:rPr>
          <w:szCs w:val="24"/>
        </w:rPr>
        <w:fldChar w:fldCharType="separate"/>
      </w:r>
      <w:r>
        <w:rPr>
          <w:rFonts w:hint="eastAsia" w:ascii="Times New Roman" w:hAnsi="Times New Roman"/>
          <w:bCs/>
          <w:szCs w:val="32"/>
        </w:rPr>
        <w:t>1.4</w:t>
      </w:r>
      <w:r>
        <w:rPr>
          <w:rFonts w:ascii="Times New Roman" w:hAnsi="Times New Roman"/>
          <w:bCs/>
          <w:szCs w:val="32"/>
        </w:rPr>
        <w:t xml:space="preserve"> </w:t>
      </w:r>
      <w:r>
        <w:rPr>
          <w:rFonts w:hint="eastAsia" w:ascii="Times New Roman" w:hAnsi="Times New Roman"/>
          <w:bCs/>
          <w:szCs w:val="32"/>
        </w:rPr>
        <w:t>评价程序</w:t>
      </w:r>
      <w:r>
        <w:tab/>
      </w:r>
      <w:r>
        <w:fldChar w:fldCharType="begin"/>
      </w:r>
      <w:r>
        <w:instrText xml:space="preserve"> PAGEREF _Toc30126 \h </w:instrText>
      </w:r>
      <w:r>
        <w:fldChar w:fldCharType="separate"/>
      </w:r>
      <w:r>
        <w:t>10</w:t>
      </w:r>
      <w:r>
        <w:fldChar w:fldCharType="end"/>
      </w:r>
      <w:r>
        <w:rPr>
          <w:szCs w:val="24"/>
        </w:rPr>
        <w:fldChar w:fldCharType="end"/>
      </w:r>
    </w:p>
    <w:p>
      <w:pPr>
        <w:pStyle w:val="37"/>
        <w:tabs>
          <w:tab w:val="right" w:leader="dot" w:pos="8306"/>
          <w:tab w:val="clear" w:pos="8302"/>
        </w:tabs>
      </w:pPr>
      <w:r>
        <w:rPr>
          <w:szCs w:val="24"/>
        </w:rPr>
        <w:fldChar w:fldCharType="begin"/>
      </w:r>
      <w:r>
        <w:rPr>
          <w:szCs w:val="24"/>
        </w:rPr>
        <w:instrText xml:space="preserve"> HYPERLINK \l _Toc11007 </w:instrText>
      </w:r>
      <w:r>
        <w:rPr>
          <w:szCs w:val="24"/>
        </w:rPr>
        <w:fldChar w:fldCharType="separate"/>
      </w:r>
      <w:r>
        <w:rPr>
          <w:rFonts w:hint="eastAsia" w:eastAsia="楷体_GB2312"/>
          <w:szCs w:val="36"/>
        </w:rPr>
        <w:t>2</w:t>
      </w:r>
      <w:r>
        <w:rPr>
          <w:rFonts w:eastAsia="楷体_GB2312"/>
          <w:szCs w:val="36"/>
        </w:rPr>
        <w:t xml:space="preserve"> </w:t>
      </w:r>
      <w:r>
        <w:rPr>
          <w:rFonts w:hint="eastAsia" w:eastAsia="楷体_GB2312"/>
          <w:szCs w:val="36"/>
        </w:rPr>
        <w:t>被评价单位基本情况</w:t>
      </w:r>
      <w:r>
        <w:tab/>
      </w:r>
      <w:r>
        <w:fldChar w:fldCharType="begin"/>
      </w:r>
      <w:r>
        <w:instrText xml:space="preserve"> PAGEREF _Toc11007 \h </w:instrText>
      </w:r>
      <w:r>
        <w:fldChar w:fldCharType="separate"/>
      </w:r>
      <w:r>
        <w:t>12</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_Toc3243 </w:instrText>
      </w:r>
      <w:r>
        <w:rPr>
          <w:szCs w:val="24"/>
        </w:rPr>
        <w:fldChar w:fldCharType="separate"/>
      </w:r>
      <w:r>
        <w:rPr>
          <w:rFonts w:hint="eastAsia" w:ascii="Times New Roman" w:hAnsi="Times New Roman"/>
          <w:bCs/>
          <w:szCs w:val="32"/>
        </w:rPr>
        <w:t>2.1</w:t>
      </w:r>
      <w:r>
        <w:rPr>
          <w:rFonts w:ascii="Times New Roman" w:hAnsi="Times New Roman"/>
          <w:bCs/>
          <w:szCs w:val="32"/>
        </w:rPr>
        <w:t xml:space="preserve"> </w:t>
      </w:r>
      <w:r>
        <w:rPr>
          <w:rFonts w:hint="eastAsia" w:ascii="Times New Roman" w:hAnsi="Times New Roman"/>
          <w:bCs/>
          <w:szCs w:val="32"/>
        </w:rPr>
        <w:t>企业概况</w:t>
      </w:r>
      <w:r>
        <w:tab/>
      </w:r>
      <w:r>
        <w:fldChar w:fldCharType="begin"/>
      </w:r>
      <w:r>
        <w:instrText xml:space="preserve"> PAGEREF _Toc3243 \h </w:instrText>
      </w:r>
      <w:r>
        <w:fldChar w:fldCharType="separate"/>
      </w:r>
      <w:r>
        <w:t>12</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_Toc510 </w:instrText>
      </w:r>
      <w:r>
        <w:rPr>
          <w:szCs w:val="24"/>
        </w:rPr>
        <w:fldChar w:fldCharType="separate"/>
      </w:r>
      <w:r>
        <w:rPr>
          <w:rFonts w:hint="eastAsia" w:ascii="Times New Roman" w:hAnsi="Times New Roman"/>
          <w:bCs/>
          <w:szCs w:val="32"/>
        </w:rPr>
        <w:t>2.</w:t>
      </w:r>
      <w:r>
        <w:rPr>
          <w:rFonts w:ascii="Times New Roman" w:hAnsi="Times New Roman"/>
          <w:bCs/>
          <w:szCs w:val="32"/>
        </w:rPr>
        <w:t xml:space="preserve">2 </w:t>
      </w:r>
      <w:r>
        <w:rPr>
          <w:rFonts w:hint="eastAsia" w:ascii="Times New Roman" w:hAnsi="Times New Roman"/>
          <w:bCs/>
          <w:szCs w:val="32"/>
        </w:rPr>
        <w:t>机构设置</w:t>
      </w:r>
      <w:r>
        <w:tab/>
      </w:r>
      <w:r>
        <w:fldChar w:fldCharType="begin"/>
      </w:r>
      <w:r>
        <w:instrText xml:space="preserve"> PAGEREF _Toc510 \h </w:instrText>
      </w:r>
      <w:r>
        <w:fldChar w:fldCharType="separate"/>
      </w:r>
      <w:r>
        <w:t>13</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_Toc13683 </w:instrText>
      </w:r>
      <w:r>
        <w:rPr>
          <w:szCs w:val="24"/>
        </w:rPr>
        <w:fldChar w:fldCharType="separate"/>
      </w:r>
      <w:r>
        <w:rPr>
          <w:rFonts w:hint="eastAsia" w:ascii="Times New Roman" w:hAnsi="Times New Roman"/>
          <w:bCs/>
          <w:szCs w:val="32"/>
        </w:rPr>
        <w:t>2.</w:t>
      </w:r>
      <w:r>
        <w:rPr>
          <w:rFonts w:ascii="Times New Roman" w:hAnsi="Times New Roman"/>
          <w:bCs/>
          <w:szCs w:val="32"/>
        </w:rPr>
        <w:t xml:space="preserve">3 </w:t>
      </w:r>
      <w:r>
        <w:rPr>
          <w:rFonts w:hint="eastAsia" w:ascii="Times New Roman" w:hAnsi="Times New Roman"/>
          <w:bCs/>
          <w:szCs w:val="32"/>
        </w:rPr>
        <w:t>主要装备、设施、作业场所概况</w:t>
      </w:r>
      <w:r>
        <w:tab/>
      </w:r>
      <w:r>
        <w:fldChar w:fldCharType="begin"/>
      </w:r>
      <w:r>
        <w:instrText xml:space="preserve"> PAGEREF _Toc13683 \h </w:instrText>
      </w:r>
      <w:r>
        <w:fldChar w:fldCharType="separate"/>
      </w:r>
      <w:r>
        <w:t>14</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_Toc31098 </w:instrText>
      </w:r>
      <w:r>
        <w:rPr>
          <w:szCs w:val="24"/>
        </w:rPr>
        <w:fldChar w:fldCharType="separate"/>
      </w:r>
      <w:r>
        <w:rPr>
          <w:rFonts w:hint="eastAsia" w:ascii="Times New Roman" w:hAnsi="Times New Roman"/>
          <w:bCs/>
          <w:szCs w:val="32"/>
        </w:rPr>
        <w:t>2.</w:t>
      </w:r>
      <w:r>
        <w:rPr>
          <w:rFonts w:ascii="Times New Roman" w:hAnsi="Times New Roman"/>
          <w:bCs/>
          <w:szCs w:val="32"/>
        </w:rPr>
        <w:t xml:space="preserve">4 </w:t>
      </w:r>
      <w:r>
        <w:rPr>
          <w:rFonts w:hint="eastAsia" w:ascii="Times New Roman" w:hAnsi="Times New Roman"/>
          <w:bCs/>
          <w:szCs w:val="32"/>
        </w:rPr>
        <w:t>安全生产管理机构的设置和安全生产管理人员的配备</w:t>
      </w:r>
      <w:r>
        <w:tab/>
      </w:r>
      <w:r>
        <w:fldChar w:fldCharType="begin"/>
      </w:r>
      <w:r>
        <w:instrText xml:space="preserve"> PAGEREF _Toc31098 \h </w:instrText>
      </w:r>
      <w:r>
        <w:fldChar w:fldCharType="separate"/>
      </w:r>
      <w:r>
        <w:t>20</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_Toc2086 </w:instrText>
      </w:r>
      <w:r>
        <w:rPr>
          <w:szCs w:val="24"/>
        </w:rPr>
        <w:fldChar w:fldCharType="separate"/>
      </w:r>
      <w:r>
        <w:rPr>
          <w:rFonts w:hint="eastAsia" w:ascii="Times New Roman" w:hAnsi="Times New Roman"/>
          <w:bCs/>
          <w:szCs w:val="32"/>
        </w:rPr>
        <w:t>2.</w:t>
      </w:r>
      <w:r>
        <w:rPr>
          <w:rFonts w:ascii="Times New Roman" w:hAnsi="Times New Roman"/>
          <w:bCs/>
          <w:szCs w:val="32"/>
        </w:rPr>
        <w:t xml:space="preserve">5 </w:t>
      </w:r>
      <w:r>
        <w:rPr>
          <w:rFonts w:hint="eastAsia" w:ascii="Times New Roman" w:hAnsi="Times New Roman"/>
          <w:bCs/>
          <w:szCs w:val="32"/>
        </w:rPr>
        <w:t>安全生产规章制度及操作规程</w:t>
      </w:r>
      <w:r>
        <w:tab/>
      </w:r>
      <w:r>
        <w:fldChar w:fldCharType="begin"/>
      </w:r>
      <w:r>
        <w:instrText xml:space="preserve"> PAGEREF _Toc2086 \h </w:instrText>
      </w:r>
      <w:r>
        <w:fldChar w:fldCharType="separate"/>
      </w:r>
      <w:r>
        <w:t>22</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_Toc10765 </w:instrText>
      </w:r>
      <w:r>
        <w:rPr>
          <w:szCs w:val="24"/>
        </w:rPr>
        <w:fldChar w:fldCharType="separate"/>
      </w:r>
      <w:r>
        <w:rPr>
          <w:rFonts w:hint="eastAsia" w:ascii="Times New Roman" w:hAnsi="Times New Roman"/>
          <w:bCs/>
          <w:szCs w:val="32"/>
        </w:rPr>
        <w:t>2.</w:t>
      </w:r>
      <w:r>
        <w:rPr>
          <w:rFonts w:ascii="Times New Roman" w:hAnsi="Times New Roman"/>
          <w:bCs/>
          <w:szCs w:val="32"/>
        </w:rPr>
        <w:t xml:space="preserve">6 </w:t>
      </w:r>
      <w:r>
        <w:rPr>
          <w:rFonts w:hint="eastAsia" w:ascii="Times New Roman" w:hAnsi="Times New Roman"/>
          <w:bCs/>
          <w:szCs w:val="32"/>
        </w:rPr>
        <w:t>安全投入情况</w:t>
      </w:r>
      <w:r>
        <w:tab/>
      </w:r>
      <w:r>
        <w:fldChar w:fldCharType="begin"/>
      </w:r>
      <w:r>
        <w:instrText xml:space="preserve"> PAGEREF _Toc10765 \h </w:instrText>
      </w:r>
      <w:r>
        <w:fldChar w:fldCharType="separate"/>
      </w:r>
      <w:r>
        <w:t>29</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_Toc8 </w:instrText>
      </w:r>
      <w:r>
        <w:rPr>
          <w:szCs w:val="24"/>
        </w:rPr>
        <w:fldChar w:fldCharType="separate"/>
      </w:r>
      <w:r>
        <w:rPr>
          <w:rFonts w:hint="eastAsia" w:ascii="Times New Roman" w:hAnsi="Times New Roman"/>
          <w:bCs/>
          <w:szCs w:val="32"/>
        </w:rPr>
        <w:t>2.</w:t>
      </w:r>
      <w:r>
        <w:rPr>
          <w:rFonts w:ascii="Times New Roman" w:hAnsi="Times New Roman"/>
          <w:bCs/>
          <w:szCs w:val="32"/>
        </w:rPr>
        <w:t xml:space="preserve">7 </w:t>
      </w:r>
      <w:r>
        <w:rPr>
          <w:rFonts w:hint="eastAsia" w:ascii="Times New Roman" w:hAnsi="Times New Roman"/>
          <w:bCs/>
          <w:szCs w:val="32"/>
        </w:rPr>
        <w:t>安全教育培训及人员持证情况</w:t>
      </w:r>
      <w:r>
        <w:tab/>
      </w:r>
      <w:r>
        <w:fldChar w:fldCharType="begin"/>
      </w:r>
      <w:r>
        <w:instrText xml:space="preserve"> PAGEREF _Toc8 \h </w:instrText>
      </w:r>
      <w:r>
        <w:fldChar w:fldCharType="separate"/>
      </w:r>
      <w:r>
        <w:t>29</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_Toc6838 </w:instrText>
      </w:r>
      <w:r>
        <w:rPr>
          <w:szCs w:val="24"/>
        </w:rPr>
        <w:fldChar w:fldCharType="separate"/>
      </w:r>
      <w:r>
        <w:rPr>
          <w:rFonts w:hint="eastAsia" w:ascii="Times New Roman" w:hAnsi="Times New Roman"/>
          <w:bCs/>
          <w:szCs w:val="32"/>
        </w:rPr>
        <w:t>2.</w:t>
      </w:r>
      <w:r>
        <w:rPr>
          <w:rFonts w:ascii="Times New Roman" w:hAnsi="Times New Roman"/>
          <w:bCs/>
          <w:szCs w:val="32"/>
        </w:rPr>
        <w:t xml:space="preserve">8 </w:t>
      </w:r>
      <w:r>
        <w:rPr>
          <w:rFonts w:hint="eastAsia" w:ascii="Times New Roman" w:hAnsi="Times New Roman"/>
          <w:bCs/>
          <w:szCs w:val="32"/>
        </w:rPr>
        <w:t>人员保险</w:t>
      </w:r>
      <w:r>
        <w:tab/>
      </w:r>
      <w:r>
        <w:fldChar w:fldCharType="begin"/>
      </w:r>
      <w:r>
        <w:instrText xml:space="preserve"> PAGEREF _Toc6838 \h </w:instrText>
      </w:r>
      <w:r>
        <w:fldChar w:fldCharType="separate"/>
      </w:r>
      <w:r>
        <w:t>38</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_Toc17854 </w:instrText>
      </w:r>
      <w:r>
        <w:rPr>
          <w:szCs w:val="24"/>
        </w:rPr>
        <w:fldChar w:fldCharType="separate"/>
      </w:r>
      <w:r>
        <w:rPr>
          <w:rFonts w:hint="eastAsia" w:ascii="Times New Roman" w:hAnsi="Times New Roman"/>
          <w:bCs/>
          <w:szCs w:val="32"/>
        </w:rPr>
        <w:t>2.</w:t>
      </w:r>
      <w:r>
        <w:rPr>
          <w:rFonts w:ascii="Times New Roman" w:hAnsi="Times New Roman"/>
          <w:bCs/>
          <w:szCs w:val="32"/>
        </w:rPr>
        <w:t xml:space="preserve">9 </w:t>
      </w:r>
      <w:r>
        <w:rPr>
          <w:rFonts w:hint="eastAsia" w:ascii="Times New Roman" w:hAnsi="Times New Roman"/>
          <w:bCs/>
          <w:szCs w:val="32"/>
        </w:rPr>
        <w:t>职业危害防护及劳保用品发放</w:t>
      </w:r>
      <w:r>
        <w:tab/>
      </w:r>
      <w:r>
        <w:fldChar w:fldCharType="begin"/>
      </w:r>
      <w:r>
        <w:instrText xml:space="preserve"> PAGEREF _Toc17854 \h </w:instrText>
      </w:r>
      <w:r>
        <w:fldChar w:fldCharType="separate"/>
      </w:r>
      <w:r>
        <w:t>40</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_Toc8352 </w:instrText>
      </w:r>
      <w:r>
        <w:rPr>
          <w:szCs w:val="24"/>
        </w:rPr>
        <w:fldChar w:fldCharType="separate"/>
      </w:r>
      <w:r>
        <w:rPr>
          <w:rFonts w:hint="eastAsia" w:ascii="Times New Roman" w:hAnsi="Times New Roman"/>
          <w:bCs/>
          <w:szCs w:val="32"/>
          <w:lang w:val="en-US" w:eastAsia="zh-CN"/>
        </w:rPr>
        <w:t>2.10 设备设施检测、检验情况</w:t>
      </w:r>
      <w:r>
        <w:tab/>
      </w:r>
      <w:r>
        <w:fldChar w:fldCharType="begin"/>
      </w:r>
      <w:r>
        <w:instrText xml:space="preserve"> PAGEREF _Toc8352 \h </w:instrText>
      </w:r>
      <w:r>
        <w:fldChar w:fldCharType="separate"/>
      </w:r>
      <w:r>
        <w:t>41</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_Toc21626 </w:instrText>
      </w:r>
      <w:r>
        <w:rPr>
          <w:szCs w:val="24"/>
        </w:rPr>
        <w:fldChar w:fldCharType="separate"/>
      </w:r>
      <w:r>
        <w:rPr>
          <w:rFonts w:hint="eastAsia" w:ascii="Times New Roman" w:hAnsi="Times New Roman"/>
          <w:bCs/>
          <w:szCs w:val="32"/>
        </w:rPr>
        <w:t>2.</w:t>
      </w:r>
      <w:r>
        <w:rPr>
          <w:rFonts w:ascii="Times New Roman" w:hAnsi="Times New Roman"/>
          <w:bCs/>
          <w:szCs w:val="32"/>
        </w:rPr>
        <w:t>1</w:t>
      </w:r>
      <w:r>
        <w:rPr>
          <w:rFonts w:hint="eastAsia" w:ascii="Times New Roman" w:hAnsi="Times New Roman"/>
          <w:bCs/>
          <w:szCs w:val="32"/>
          <w:lang w:val="en-US" w:eastAsia="zh-CN"/>
        </w:rPr>
        <w:t>1</w:t>
      </w:r>
      <w:r>
        <w:rPr>
          <w:rFonts w:ascii="Times New Roman" w:hAnsi="Times New Roman"/>
          <w:bCs/>
          <w:szCs w:val="32"/>
        </w:rPr>
        <w:t xml:space="preserve"> </w:t>
      </w:r>
      <w:r>
        <w:rPr>
          <w:rFonts w:hint="eastAsia" w:ascii="Times New Roman" w:hAnsi="Times New Roman"/>
          <w:bCs/>
          <w:szCs w:val="32"/>
        </w:rPr>
        <w:t>事故应急救援预案及演练</w:t>
      </w:r>
      <w:r>
        <w:tab/>
      </w:r>
      <w:r>
        <w:fldChar w:fldCharType="begin"/>
      </w:r>
      <w:r>
        <w:instrText xml:space="preserve"> PAGEREF _Toc21626 \h </w:instrText>
      </w:r>
      <w:r>
        <w:fldChar w:fldCharType="separate"/>
      </w:r>
      <w:r>
        <w:t>49</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_Toc8738 </w:instrText>
      </w:r>
      <w:r>
        <w:rPr>
          <w:szCs w:val="24"/>
        </w:rPr>
        <w:fldChar w:fldCharType="separate"/>
      </w:r>
      <w:r>
        <w:rPr>
          <w:rFonts w:ascii="Times New Roman" w:hAnsi="Times New Roman"/>
          <w:bCs/>
          <w:szCs w:val="32"/>
        </w:rPr>
        <w:t>2.1</w:t>
      </w:r>
      <w:r>
        <w:rPr>
          <w:rFonts w:hint="eastAsia" w:ascii="Times New Roman" w:hAnsi="Times New Roman"/>
          <w:bCs/>
          <w:szCs w:val="32"/>
          <w:lang w:val="en-US" w:eastAsia="zh-CN"/>
        </w:rPr>
        <w:t>2</w:t>
      </w:r>
      <w:r>
        <w:rPr>
          <w:rFonts w:hint="eastAsia" w:ascii="Times New Roman" w:hAnsi="Times New Roman"/>
          <w:bCs/>
          <w:szCs w:val="32"/>
        </w:rPr>
        <w:t>安全生产标准化及双重预防体系的建设、运行情况</w:t>
      </w:r>
      <w:r>
        <w:tab/>
      </w:r>
      <w:r>
        <w:fldChar w:fldCharType="begin"/>
      </w:r>
      <w:r>
        <w:instrText xml:space="preserve"> PAGEREF _Toc8738 \h </w:instrText>
      </w:r>
      <w:r>
        <w:fldChar w:fldCharType="separate"/>
      </w:r>
      <w:r>
        <w:t>54</w:t>
      </w:r>
      <w:r>
        <w:fldChar w:fldCharType="end"/>
      </w:r>
      <w:r>
        <w:rPr>
          <w:szCs w:val="24"/>
        </w:rPr>
        <w:fldChar w:fldCharType="end"/>
      </w:r>
    </w:p>
    <w:p>
      <w:pPr>
        <w:pStyle w:val="37"/>
        <w:tabs>
          <w:tab w:val="right" w:leader="dot" w:pos="8306"/>
          <w:tab w:val="clear" w:pos="8302"/>
        </w:tabs>
      </w:pPr>
      <w:r>
        <w:rPr>
          <w:szCs w:val="24"/>
        </w:rPr>
        <w:fldChar w:fldCharType="begin"/>
      </w:r>
      <w:r>
        <w:rPr>
          <w:szCs w:val="24"/>
        </w:rPr>
        <w:instrText xml:space="preserve"> HYPERLINK \l _Toc6518 </w:instrText>
      </w:r>
      <w:r>
        <w:rPr>
          <w:szCs w:val="24"/>
        </w:rPr>
        <w:fldChar w:fldCharType="separate"/>
      </w:r>
      <w:r>
        <w:rPr>
          <w:rFonts w:hint="eastAsia" w:eastAsia="楷体_GB2312"/>
          <w:szCs w:val="36"/>
        </w:rPr>
        <w:t>3 主要危险、有害因素分析</w:t>
      </w:r>
      <w:r>
        <w:tab/>
      </w:r>
      <w:r>
        <w:fldChar w:fldCharType="begin"/>
      </w:r>
      <w:r>
        <w:instrText xml:space="preserve"> PAGEREF _Toc6518 \h </w:instrText>
      </w:r>
      <w:r>
        <w:fldChar w:fldCharType="separate"/>
      </w:r>
      <w:r>
        <w:t>55</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_Toc32449 </w:instrText>
      </w:r>
      <w:r>
        <w:rPr>
          <w:szCs w:val="24"/>
        </w:rPr>
        <w:fldChar w:fldCharType="separate"/>
      </w:r>
      <w:r>
        <w:rPr>
          <w:rFonts w:hint="eastAsia" w:ascii="Times New Roman" w:hAnsi="Times New Roman"/>
          <w:bCs/>
          <w:szCs w:val="32"/>
        </w:rPr>
        <w:t>3.1 主要物质的危险有害特性分析</w:t>
      </w:r>
      <w:r>
        <w:tab/>
      </w:r>
      <w:r>
        <w:fldChar w:fldCharType="begin"/>
      </w:r>
      <w:r>
        <w:instrText xml:space="preserve"> PAGEREF _Toc32449 \h </w:instrText>
      </w:r>
      <w:r>
        <w:fldChar w:fldCharType="separate"/>
      </w:r>
      <w:r>
        <w:t>55</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_Toc26745 </w:instrText>
      </w:r>
      <w:r>
        <w:rPr>
          <w:szCs w:val="24"/>
        </w:rPr>
        <w:fldChar w:fldCharType="separate"/>
      </w:r>
      <w:r>
        <w:rPr>
          <w:rFonts w:hint="eastAsia" w:ascii="Times New Roman" w:hAnsi="Times New Roman"/>
          <w:bCs/>
          <w:szCs w:val="32"/>
        </w:rPr>
        <w:t>3.2 主要工艺设备危险性分析</w:t>
      </w:r>
      <w:r>
        <w:tab/>
      </w:r>
      <w:r>
        <w:fldChar w:fldCharType="begin"/>
      </w:r>
      <w:r>
        <w:instrText xml:space="preserve"> PAGEREF _Toc26745 \h </w:instrText>
      </w:r>
      <w:r>
        <w:fldChar w:fldCharType="separate"/>
      </w:r>
      <w:r>
        <w:t>64</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_Toc11320 </w:instrText>
      </w:r>
      <w:r>
        <w:rPr>
          <w:szCs w:val="24"/>
        </w:rPr>
        <w:fldChar w:fldCharType="separate"/>
      </w:r>
      <w:r>
        <w:rPr>
          <w:rFonts w:hint="eastAsia" w:ascii="Times New Roman" w:hAnsi="Times New Roman"/>
          <w:bCs/>
          <w:szCs w:val="32"/>
        </w:rPr>
        <w:t>3.</w:t>
      </w:r>
      <w:r>
        <w:rPr>
          <w:rFonts w:hint="eastAsia" w:ascii="Times New Roman" w:hAnsi="Times New Roman"/>
          <w:bCs/>
          <w:szCs w:val="32"/>
          <w:lang w:val="en-US" w:eastAsia="zh-CN"/>
        </w:rPr>
        <w:t>3</w:t>
      </w:r>
      <w:r>
        <w:rPr>
          <w:rFonts w:hint="eastAsia" w:ascii="Times New Roman" w:hAnsi="Times New Roman"/>
          <w:bCs/>
          <w:szCs w:val="32"/>
        </w:rPr>
        <w:t xml:space="preserve"> </w:t>
      </w:r>
      <w:r>
        <w:rPr>
          <w:rFonts w:hint="eastAsia" w:ascii="Times New Roman" w:hAnsi="Times New Roman"/>
          <w:bCs/>
          <w:szCs w:val="32"/>
          <w:lang w:val="en-US" w:eastAsia="zh-CN"/>
        </w:rPr>
        <w:t>施工过程中的</w:t>
      </w:r>
      <w:r>
        <w:rPr>
          <w:rFonts w:hint="eastAsia" w:ascii="Times New Roman" w:hAnsi="Times New Roman"/>
          <w:bCs/>
          <w:szCs w:val="32"/>
        </w:rPr>
        <w:t>危险性分析</w:t>
      </w:r>
      <w:r>
        <w:tab/>
      </w:r>
      <w:r>
        <w:fldChar w:fldCharType="begin"/>
      </w:r>
      <w:r>
        <w:instrText xml:space="preserve"> PAGEREF _Toc11320 \h </w:instrText>
      </w:r>
      <w:r>
        <w:fldChar w:fldCharType="separate"/>
      </w:r>
      <w:r>
        <w:t>64</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_Toc13617 </w:instrText>
      </w:r>
      <w:r>
        <w:rPr>
          <w:szCs w:val="24"/>
        </w:rPr>
        <w:fldChar w:fldCharType="separate"/>
      </w:r>
      <w:r>
        <w:rPr>
          <w:rFonts w:hint="eastAsia" w:ascii="Times New Roman" w:hAnsi="Times New Roman"/>
          <w:bCs/>
          <w:szCs w:val="32"/>
        </w:rPr>
        <w:t>3.</w:t>
      </w:r>
      <w:r>
        <w:rPr>
          <w:rFonts w:hint="eastAsia" w:ascii="Times New Roman" w:hAnsi="Times New Roman"/>
          <w:bCs/>
          <w:szCs w:val="32"/>
          <w:lang w:val="en-US" w:eastAsia="zh-CN"/>
        </w:rPr>
        <w:t>4</w:t>
      </w:r>
      <w:r>
        <w:rPr>
          <w:rFonts w:hint="eastAsia" w:ascii="Times New Roman" w:hAnsi="Times New Roman"/>
          <w:bCs/>
          <w:szCs w:val="32"/>
        </w:rPr>
        <w:t xml:space="preserve"> 主要危险因素分析</w:t>
      </w:r>
      <w:r>
        <w:tab/>
      </w:r>
      <w:r>
        <w:fldChar w:fldCharType="begin"/>
      </w:r>
      <w:r>
        <w:instrText xml:space="preserve"> PAGEREF _Toc13617 \h </w:instrText>
      </w:r>
      <w:r>
        <w:fldChar w:fldCharType="separate"/>
      </w:r>
      <w:r>
        <w:t>65</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_Toc22742 </w:instrText>
      </w:r>
      <w:r>
        <w:rPr>
          <w:szCs w:val="24"/>
        </w:rPr>
        <w:fldChar w:fldCharType="separate"/>
      </w:r>
      <w:r>
        <w:rPr>
          <w:rFonts w:hint="eastAsia" w:ascii="Times New Roman" w:hAnsi="Times New Roman"/>
          <w:bCs/>
          <w:szCs w:val="32"/>
        </w:rPr>
        <w:t>3.</w:t>
      </w:r>
      <w:r>
        <w:rPr>
          <w:rFonts w:hint="eastAsia" w:ascii="Times New Roman" w:hAnsi="Times New Roman"/>
          <w:bCs/>
          <w:szCs w:val="32"/>
          <w:lang w:val="en-US" w:eastAsia="zh-CN"/>
        </w:rPr>
        <w:t>5</w:t>
      </w:r>
      <w:r>
        <w:rPr>
          <w:rFonts w:hint="eastAsia" w:ascii="Times New Roman" w:hAnsi="Times New Roman"/>
          <w:bCs/>
          <w:szCs w:val="32"/>
        </w:rPr>
        <w:t xml:space="preserve"> </w:t>
      </w:r>
      <w:r>
        <w:rPr>
          <w:rFonts w:hint="eastAsia" w:ascii="Times New Roman" w:hAnsi="Times New Roman"/>
          <w:bCs/>
          <w:szCs w:val="32"/>
          <w:lang w:val="en-US" w:eastAsia="zh-CN"/>
        </w:rPr>
        <w:t>主要有害因素辨识</w:t>
      </w:r>
      <w:r>
        <w:tab/>
      </w:r>
      <w:r>
        <w:fldChar w:fldCharType="begin"/>
      </w:r>
      <w:r>
        <w:instrText xml:space="preserve"> PAGEREF _Toc22742 \h </w:instrText>
      </w:r>
      <w:r>
        <w:fldChar w:fldCharType="separate"/>
      </w:r>
      <w:r>
        <w:t>72</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_Toc16549 </w:instrText>
      </w:r>
      <w:r>
        <w:rPr>
          <w:szCs w:val="24"/>
        </w:rPr>
        <w:fldChar w:fldCharType="separate"/>
      </w:r>
      <w:r>
        <w:rPr>
          <w:rFonts w:hint="eastAsia" w:ascii="Times New Roman" w:hAnsi="Times New Roman"/>
          <w:bCs/>
          <w:szCs w:val="32"/>
        </w:rPr>
        <w:t>3.</w:t>
      </w:r>
      <w:r>
        <w:rPr>
          <w:rFonts w:hint="eastAsia" w:ascii="Times New Roman" w:hAnsi="Times New Roman"/>
          <w:bCs/>
          <w:szCs w:val="32"/>
          <w:lang w:val="en-US" w:eastAsia="zh-CN"/>
        </w:rPr>
        <w:t>6</w:t>
      </w:r>
      <w:r>
        <w:rPr>
          <w:rFonts w:hint="eastAsia" w:ascii="Times New Roman" w:hAnsi="Times New Roman"/>
          <w:bCs/>
          <w:szCs w:val="32"/>
        </w:rPr>
        <w:t xml:space="preserve"> 自然灾害的影响</w:t>
      </w:r>
      <w:r>
        <w:tab/>
      </w:r>
      <w:r>
        <w:fldChar w:fldCharType="begin"/>
      </w:r>
      <w:r>
        <w:instrText xml:space="preserve"> PAGEREF _Toc16549 \h </w:instrText>
      </w:r>
      <w:r>
        <w:fldChar w:fldCharType="separate"/>
      </w:r>
      <w:r>
        <w:t>73</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_Toc9648 </w:instrText>
      </w:r>
      <w:r>
        <w:rPr>
          <w:szCs w:val="24"/>
        </w:rPr>
        <w:fldChar w:fldCharType="separate"/>
      </w:r>
      <w:r>
        <w:rPr>
          <w:rFonts w:hint="eastAsia" w:ascii="Times New Roman" w:hAnsi="Times New Roman"/>
          <w:bCs/>
          <w:szCs w:val="32"/>
        </w:rPr>
        <w:t>3.</w:t>
      </w:r>
      <w:r>
        <w:rPr>
          <w:rFonts w:hint="eastAsia" w:ascii="Times New Roman" w:hAnsi="Times New Roman"/>
          <w:bCs/>
          <w:szCs w:val="32"/>
          <w:lang w:val="en-US" w:eastAsia="zh-CN"/>
        </w:rPr>
        <w:t>7</w:t>
      </w:r>
      <w:r>
        <w:rPr>
          <w:rFonts w:hint="eastAsia" w:ascii="Times New Roman" w:hAnsi="Times New Roman"/>
          <w:bCs/>
          <w:szCs w:val="32"/>
        </w:rPr>
        <w:t xml:space="preserve"> 重大危险源辨识</w:t>
      </w:r>
      <w:r>
        <w:tab/>
      </w:r>
      <w:r>
        <w:fldChar w:fldCharType="begin"/>
      </w:r>
      <w:r>
        <w:instrText xml:space="preserve"> PAGEREF _Toc9648 \h </w:instrText>
      </w:r>
      <w:r>
        <w:fldChar w:fldCharType="separate"/>
      </w:r>
      <w:r>
        <w:t>75</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_Toc8984 </w:instrText>
      </w:r>
      <w:r>
        <w:rPr>
          <w:szCs w:val="24"/>
        </w:rPr>
        <w:fldChar w:fldCharType="separate"/>
      </w:r>
      <w:r>
        <w:rPr>
          <w:rFonts w:hint="eastAsia" w:ascii="Times New Roman" w:hAnsi="Times New Roman"/>
          <w:bCs/>
          <w:szCs w:val="32"/>
        </w:rPr>
        <w:t>3.</w:t>
      </w:r>
      <w:r>
        <w:rPr>
          <w:rFonts w:hint="eastAsia" w:ascii="Times New Roman" w:hAnsi="Times New Roman"/>
          <w:bCs/>
          <w:szCs w:val="32"/>
          <w:lang w:val="en-US" w:eastAsia="zh-CN"/>
        </w:rPr>
        <w:t>8</w:t>
      </w:r>
      <w:r>
        <w:rPr>
          <w:rFonts w:hint="eastAsia" w:ascii="Times New Roman" w:hAnsi="Times New Roman"/>
          <w:bCs/>
          <w:szCs w:val="32"/>
        </w:rPr>
        <w:t xml:space="preserve"> </w:t>
      </w:r>
      <w:r>
        <w:rPr>
          <w:rFonts w:hint="eastAsia" w:ascii="Times New Roman" w:hAnsi="Times New Roman"/>
          <w:bCs/>
          <w:szCs w:val="32"/>
          <w:lang w:val="en-US" w:eastAsia="zh-CN"/>
        </w:rPr>
        <w:t>事故案例分析</w:t>
      </w:r>
      <w:r>
        <w:tab/>
      </w:r>
      <w:r>
        <w:fldChar w:fldCharType="begin"/>
      </w:r>
      <w:r>
        <w:instrText xml:space="preserve"> PAGEREF _Toc8984 \h </w:instrText>
      </w:r>
      <w:r>
        <w:fldChar w:fldCharType="separate"/>
      </w:r>
      <w:r>
        <w:t>75</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_Toc24439 </w:instrText>
      </w:r>
      <w:r>
        <w:rPr>
          <w:szCs w:val="24"/>
        </w:rPr>
        <w:fldChar w:fldCharType="separate"/>
      </w:r>
      <w:r>
        <w:rPr>
          <w:rFonts w:hint="eastAsia" w:ascii="Times New Roman" w:hAnsi="Times New Roman"/>
          <w:bCs/>
          <w:szCs w:val="32"/>
        </w:rPr>
        <w:t>3.</w:t>
      </w:r>
      <w:r>
        <w:rPr>
          <w:rFonts w:hint="eastAsia" w:ascii="Times New Roman" w:hAnsi="Times New Roman"/>
          <w:bCs/>
          <w:szCs w:val="32"/>
          <w:lang w:val="en-US" w:eastAsia="zh-CN"/>
        </w:rPr>
        <w:t>9</w:t>
      </w:r>
      <w:r>
        <w:rPr>
          <w:rFonts w:hint="eastAsia" w:ascii="Times New Roman" w:hAnsi="Times New Roman"/>
          <w:bCs/>
          <w:szCs w:val="32"/>
        </w:rPr>
        <w:t xml:space="preserve"> 主要危险、有害因素分析结论</w:t>
      </w:r>
      <w:r>
        <w:tab/>
      </w:r>
      <w:r>
        <w:fldChar w:fldCharType="begin"/>
      </w:r>
      <w:r>
        <w:instrText xml:space="preserve"> PAGEREF _Toc24439 \h </w:instrText>
      </w:r>
      <w:r>
        <w:fldChar w:fldCharType="separate"/>
      </w:r>
      <w:r>
        <w:t>79</w:t>
      </w:r>
      <w:r>
        <w:fldChar w:fldCharType="end"/>
      </w:r>
      <w:r>
        <w:rPr>
          <w:szCs w:val="24"/>
        </w:rPr>
        <w:fldChar w:fldCharType="end"/>
      </w:r>
    </w:p>
    <w:p>
      <w:pPr>
        <w:pStyle w:val="37"/>
        <w:tabs>
          <w:tab w:val="right" w:leader="dot" w:pos="8306"/>
          <w:tab w:val="clear" w:pos="8302"/>
        </w:tabs>
      </w:pPr>
      <w:r>
        <w:rPr>
          <w:szCs w:val="24"/>
        </w:rPr>
        <w:fldChar w:fldCharType="begin"/>
      </w:r>
      <w:r>
        <w:rPr>
          <w:szCs w:val="24"/>
        </w:rPr>
        <w:instrText xml:space="preserve"> HYPERLINK \l _Toc7689 </w:instrText>
      </w:r>
      <w:r>
        <w:rPr>
          <w:szCs w:val="24"/>
        </w:rPr>
        <w:fldChar w:fldCharType="separate"/>
      </w:r>
      <w:r>
        <w:rPr>
          <w:rFonts w:hint="eastAsia" w:eastAsia="楷体_GB2312"/>
          <w:szCs w:val="36"/>
        </w:rPr>
        <w:t>4</w:t>
      </w:r>
      <w:r>
        <w:rPr>
          <w:rFonts w:eastAsia="楷体_GB2312"/>
          <w:szCs w:val="36"/>
        </w:rPr>
        <w:t xml:space="preserve"> </w:t>
      </w:r>
      <w:r>
        <w:rPr>
          <w:rFonts w:hint="eastAsia" w:eastAsia="楷体_GB2312"/>
          <w:szCs w:val="36"/>
        </w:rPr>
        <w:t>评价单元划分及评价方法选择</w:t>
      </w:r>
      <w:r>
        <w:tab/>
      </w:r>
      <w:r>
        <w:fldChar w:fldCharType="begin"/>
      </w:r>
      <w:r>
        <w:instrText xml:space="preserve"> PAGEREF _Toc7689 \h </w:instrText>
      </w:r>
      <w:r>
        <w:fldChar w:fldCharType="separate"/>
      </w:r>
      <w:r>
        <w:t>81</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_Toc4852 </w:instrText>
      </w:r>
      <w:r>
        <w:rPr>
          <w:szCs w:val="24"/>
        </w:rPr>
        <w:fldChar w:fldCharType="separate"/>
      </w:r>
      <w:r>
        <w:rPr>
          <w:rFonts w:hint="eastAsia" w:ascii="Times New Roman" w:hAnsi="Times New Roman"/>
          <w:bCs/>
          <w:szCs w:val="32"/>
        </w:rPr>
        <w:t>4.1</w:t>
      </w:r>
      <w:r>
        <w:rPr>
          <w:rFonts w:ascii="Times New Roman" w:hAnsi="Times New Roman"/>
          <w:bCs/>
          <w:szCs w:val="32"/>
        </w:rPr>
        <w:t xml:space="preserve"> </w:t>
      </w:r>
      <w:r>
        <w:rPr>
          <w:rFonts w:hint="eastAsia" w:ascii="Times New Roman" w:hAnsi="Times New Roman"/>
          <w:bCs/>
          <w:szCs w:val="32"/>
        </w:rPr>
        <w:t>评价单元划分</w:t>
      </w:r>
      <w:r>
        <w:tab/>
      </w:r>
      <w:r>
        <w:fldChar w:fldCharType="begin"/>
      </w:r>
      <w:r>
        <w:instrText xml:space="preserve"> PAGEREF _Toc4852 \h </w:instrText>
      </w:r>
      <w:r>
        <w:fldChar w:fldCharType="separate"/>
      </w:r>
      <w:r>
        <w:t>81</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_Toc16187 </w:instrText>
      </w:r>
      <w:r>
        <w:rPr>
          <w:szCs w:val="24"/>
        </w:rPr>
        <w:fldChar w:fldCharType="separate"/>
      </w:r>
      <w:r>
        <w:rPr>
          <w:rFonts w:hint="eastAsia" w:ascii="Times New Roman" w:hAnsi="Times New Roman"/>
          <w:bCs/>
          <w:szCs w:val="32"/>
        </w:rPr>
        <w:t>4.2</w:t>
      </w:r>
      <w:r>
        <w:rPr>
          <w:rFonts w:ascii="Times New Roman" w:hAnsi="Times New Roman"/>
          <w:bCs/>
          <w:szCs w:val="32"/>
        </w:rPr>
        <w:t xml:space="preserve"> </w:t>
      </w:r>
      <w:r>
        <w:rPr>
          <w:rFonts w:hint="eastAsia" w:ascii="Times New Roman" w:hAnsi="Times New Roman"/>
          <w:bCs/>
          <w:szCs w:val="32"/>
        </w:rPr>
        <w:t>评价方法选择</w:t>
      </w:r>
      <w:r>
        <w:tab/>
      </w:r>
      <w:r>
        <w:fldChar w:fldCharType="begin"/>
      </w:r>
      <w:r>
        <w:instrText xml:space="preserve"> PAGEREF _Toc16187 \h </w:instrText>
      </w:r>
      <w:r>
        <w:fldChar w:fldCharType="separate"/>
      </w:r>
      <w:r>
        <w:t>81</w:t>
      </w:r>
      <w:r>
        <w:fldChar w:fldCharType="end"/>
      </w:r>
      <w:r>
        <w:rPr>
          <w:szCs w:val="24"/>
        </w:rPr>
        <w:fldChar w:fldCharType="end"/>
      </w:r>
    </w:p>
    <w:p>
      <w:pPr>
        <w:pStyle w:val="37"/>
        <w:tabs>
          <w:tab w:val="right" w:leader="dot" w:pos="8306"/>
          <w:tab w:val="clear" w:pos="8302"/>
        </w:tabs>
      </w:pPr>
      <w:r>
        <w:rPr>
          <w:szCs w:val="24"/>
        </w:rPr>
        <w:fldChar w:fldCharType="begin"/>
      </w:r>
      <w:r>
        <w:rPr>
          <w:szCs w:val="24"/>
        </w:rPr>
        <w:instrText xml:space="preserve"> HYPERLINK \l _Toc637 </w:instrText>
      </w:r>
      <w:r>
        <w:rPr>
          <w:szCs w:val="24"/>
        </w:rPr>
        <w:fldChar w:fldCharType="separate"/>
      </w:r>
      <w:r>
        <w:rPr>
          <w:rFonts w:hint="eastAsia" w:eastAsia="楷体_GB2312"/>
          <w:szCs w:val="36"/>
        </w:rPr>
        <w:t>5</w:t>
      </w:r>
      <w:r>
        <w:rPr>
          <w:rFonts w:eastAsia="楷体_GB2312"/>
          <w:szCs w:val="36"/>
        </w:rPr>
        <w:t xml:space="preserve">  </w:t>
      </w:r>
      <w:r>
        <w:rPr>
          <w:rFonts w:hint="eastAsia" w:eastAsia="楷体_GB2312"/>
          <w:szCs w:val="36"/>
          <w:lang w:val="en-US" w:eastAsia="zh-CN"/>
        </w:rPr>
        <w:t>定性、定量</w:t>
      </w:r>
      <w:r>
        <w:rPr>
          <w:rFonts w:hint="eastAsia" w:eastAsia="楷体_GB2312"/>
          <w:szCs w:val="36"/>
        </w:rPr>
        <w:t>评价</w:t>
      </w:r>
      <w:r>
        <w:tab/>
      </w:r>
      <w:r>
        <w:fldChar w:fldCharType="begin"/>
      </w:r>
      <w:r>
        <w:instrText xml:space="preserve"> PAGEREF _Toc637 \h </w:instrText>
      </w:r>
      <w:r>
        <w:fldChar w:fldCharType="separate"/>
      </w:r>
      <w:r>
        <w:t>87</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_Toc25829 </w:instrText>
      </w:r>
      <w:r>
        <w:rPr>
          <w:szCs w:val="24"/>
        </w:rPr>
        <w:fldChar w:fldCharType="separate"/>
      </w:r>
      <w:r>
        <w:rPr>
          <w:rFonts w:hint="eastAsia" w:ascii="Times New Roman" w:hAnsi="Times New Roman"/>
          <w:bCs/>
          <w:szCs w:val="32"/>
        </w:rPr>
        <w:t xml:space="preserve">5.1 </w:t>
      </w:r>
      <w:r>
        <w:rPr>
          <w:rFonts w:ascii="Times New Roman" w:hAnsi="Times New Roman"/>
          <w:bCs/>
          <w:szCs w:val="32"/>
        </w:rPr>
        <w:t xml:space="preserve"> </w:t>
      </w:r>
      <w:r>
        <w:rPr>
          <w:rFonts w:hint="eastAsia" w:ascii="Times New Roman" w:hAnsi="Times New Roman"/>
          <w:bCs/>
          <w:szCs w:val="32"/>
        </w:rPr>
        <w:t>生产单元安全检查表</w:t>
      </w:r>
      <w:r>
        <w:tab/>
      </w:r>
      <w:r>
        <w:fldChar w:fldCharType="begin"/>
      </w:r>
      <w:r>
        <w:instrText xml:space="preserve"> PAGEREF _Toc25829 \h </w:instrText>
      </w:r>
      <w:r>
        <w:fldChar w:fldCharType="separate"/>
      </w:r>
      <w:r>
        <w:t>87</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_Toc27605 </w:instrText>
      </w:r>
      <w:r>
        <w:rPr>
          <w:szCs w:val="24"/>
        </w:rPr>
        <w:fldChar w:fldCharType="separate"/>
      </w:r>
      <w:r>
        <w:rPr>
          <w:rFonts w:hint="eastAsia" w:ascii="Times New Roman" w:hAnsi="Times New Roman"/>
          <w:bCs/>
          <w:szCs w:val="32"/>
        </w:rPr>
        <w:t xml:space="preserve">5.2 </w:t>
      </w:r>
      <w:r>
        <w:rPr>
          <w:rFonts w:ascii="Times New Roman" w:hAnsi="Times New Roman"/>
          <w:bCs/>
          <w:szCs w:val="32"/>
        </w:rPr>
        <w:t xml:space="preserve"> </w:t>
      </w:r>
      <w:r>
        <w:rPr>
          <w:rFonts w:hint="eastAsia" w:ascii="Times New Roman" w:hAnsi="Times New Roman"/>
          <w:bCs/>
          <w:szCs w:val="32"/>
        </w:rPr>
        <w:t>管理单元安全检查表</w:t>
      </w:r>
      <w:r>
        <w:tab/>
      </w:r>
      <w:r>
        <w:fldChar w:fldCharType="begin"/>
      </w:r>
      <w:r>
        <w:instrText xml:space="preserve"> PAGEREF _Toc27605 \h </w:instrText>
      </w:r>
      <w:r>
        <w:fldChar w:fldCharType="separate"/>
      </w:r>
      <w:r>
        <w:t>100</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_Toc29819 </w:instrText>
      </w:r>
      <w:r>
        <w:rPr>
          <w:szCs w:val="24"/>
        </w:rPr>
        <w:fldChar w:fldCharType="separate"/>
      </w:r>
      <w:r>
        <w:rPr>
          <w:rFonts w:hint="eastAsia" w:ascii="Times New Roman" w:hAnsi="Times New Roman"/>
          <w:bCs/>
          <w:szCs w:val="32"/>
        </w:rPr>
        <w:t>5.</w:t>
      </w:r>
      <w:r>
        <w:rPr>
          <w:rFonts w:hint="eastAsia" w:ascii="Times New Roman" w:hAnsi="Times New Roman"/>
          <w:bCs/>
          <w:szCs w:val="32"/>
          <w:lang w:val="en-US" w:eastAsia="zh-CN"/>
        </w:rPr>
        <w:t>3</w:t>
      </w:r>
      <w:r>
        <w:rPr>
          <w:rFonts w:hint="eastAsia" w:ascii="Times New Roman" w:hAnsi="Times New Roman"/>
          <w:bCs/>
          <w:szCs w:val="32"/>
        </w:rPr>
        <w:t xml:space="preserve"> </w:t>
      </w:r>
      <w:r>
        <w:rPr>
          <w:rFonts w:ascii="Times New Roman" w:hAnsi="Times New Roman"/>
          <w:bCs/>
          <w:szCs w:val="32"/>
        </w:rPr>
        <w:t xml:space="preserve"> </w:t>
      </w:r>
      <w:r>
        <w:rPr>
          <w:rFonts w:hint="eastAsia" w:ascii="Times New Roman" w:hAnsi="Times New Roman"/>
          <w:bCs/>
          <w:szCs w:val="32"/>
          <w:lang w:val="en-US" w:eastAsia="zh-CN"/>
        </w:rPr>
        <w:t>预先危险性分析</w:t>
      </w:r>
      <w:r>
        <w:tab/>
      </w:r>
      <w:r>
        <w:fldChar w:fldCharType="begin"/>
      </w:r>
      <w:r>
        <w:instrText xml:space="preserve"> PAGEREF _Toc29819 \h </w:instrText>
      </w:r>
      <w:r>
        <w:fldChar w:fldCharType="separate"/>
      </w:r>
      <w:r>
        <w:t>110</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_Toc19035 </w:instrText>
      </w:r>
      <w:r>
        <w:rPr>
          <w:szCs w:val="24"/>
        </w:rPr>
        <w:fldChar w:fldCharType="separate"/>
      </w:r>
      <w:r>
        <w:rPr>
          <w:rFonts w:hint="eastAsia" w:ascii="Times New Roman" w:hAnsi="Times New Roman"/>
          <w:bCs/>
          <w:szCs w:val="32"/>
        </w:rPr>
        <w:t>5.</w:t>
      </w:r>
      <w:r>
        <w:rPr>
          <w:rFonts w:hint="eastAsia" w:ascii="Times New Roman" w:hAnsi="Times New Roman"/>
          <w:bCs/>
          <w:szCs w:val="32"/>
          <w:lang w:val="en-US" w:eastAsia="zh-CN"/>
        </w:rPr>
        <w:t>4</w:t>
      </w:r>
      <w:r>
        <w:rPr>
          <w:rFonts w:hint="eastAsia" w:ascii="Times New Roman" w:hAnsi="Times New Roman"/>
          <w:bCs/>
          <w:szCs w:val="32"/>
        </w:rPr>
        <w:t xml:space="preserve"> </w:t>
      </w:r>
      <w:r>
        <w:rPr>
          <w:rFonts w:ascii="Times New Roman" w:hAnsi="Times New Roman"/>
          <w:bCs/>
          <w:szCs w:val="32"/>
        </w:rPr>
        <w:t xml:space="preserve"> </w:t>
      </w:r>
      <w:r>
        <w:rPr>
          <w:rFonts w:hint="eastAsia" w:ascii="Times New Roman" w:hAnsi="Times New Roman"/>
          <w:bCs/>
          <w:szCs w:val="32"/>
          <w:lang w:val="en-US" w:eastAsia="zh-CN"/>
        </w:rPr>
        <w:t>作业条件危险性评价</w:t>
      </w:r>
      <w:r>
        <w:tab/>
      </w:r>
      <w:r>
        <w:fldChar w:fldCharType="begin"/>
      </w:r>
      <w:r>
        <w:instrText xml:space="preserve"> PAGEREF _Toc19035 \h </w:instrText>
      </w:r>
      <w:r>
        <w:fldChar w:fldCharType="separate"/>
      </w:r>
      <w:r>
        <w:t>112</w:t>
      </w:r>
      <w:r>
        <w:fldChar w:fldCharType="end"/>
      </w:r>
      <w:r>
        <w:rPr>
          <w:szCs w:val="24"/>
        </w:rPr>
        <w:fldChar w:fldCharType="end"/>
      </w:r>
    </w:p>
    <w:p>
      <w:pPr>
        <w:pStyle w:val="37"/>
        <w:tabs>
          <w:tab w:val="right" w:leader="dot" w:pos="8306"/>
          <w:tab w:val="clear" w:pos="8302"/>
        </w:tabs>
      </w:pPr>
      <w:r>
        <w:rPr>
          <w:szCs w:val="24"/>
        </w:rPr>
        <w:fldChar w:fldCharType="begin"/>
      </w:r>
      <w:r>
        <w:rPr>
          <w:szCs w:val="24"/>
        </w:rPr>
        <w:instrText xml:space="preserve"> HYPERLINK \l _Toc24753 </w:instrText>
      </w:r>
      <w:r>
        <w:rPr>
          <w:szCs w:val="24"/>
        </w:rPr>
        <w:fldChar w:fldCharType="separate"/>
      </w:r>
      <w:r>
        <w:rPr>
          <w:rFonts w:eastAsia="楷体_GB2312"/>
          <w:szCs w:val="36"/>
        </w:rPr>
        <w:t>6</w:t>
      </w:r>
      <w:r>
        <w:rPr>
          <w:rFonts w:hint="eastAsia" w:eastAsia="楷体_GB2312"/>
          <w:szCs w:val="36"/>
        </w:rPr>
        <w:t xml:space="preserve"> </w:t>
      </w:r>
      <w:r>
        <w:rPr>
          <w:rFonts w:eastAsia="楷体_GB2312"/>
          <w:szCs w:val="36"/>
        </w:rPr>
        <w:t xml:space="preserve"> </w:t>
      </w:r>
      <w:r>
        <w:rPr>
          <w:rFonts w:hint="eastAsia" w:eastAsia="楷体_GB2312"/>
          <w:szCs w:val="36"/>
        </w:rPr>
        <w:t>安全对策措施与管理建议</w:t>
      </w:r>
      <w:r>
        <w:tab/>
      </w:r>
      <w:r>
        <w:fldChar w:fldCharType="begin"/>
      </w:r>
      <w:r>
        <w:instrText xml:space="preserve"> PAGEREF _Toc24753 \h </w:instrText>
      </w:r>
      <w:r>
        <w:fldChar w:fldCharType="separate"/>
      </w:r>
      <w:r>
        <w:t>114</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_Toc24444 </w:instrText>
      </w:r>
      <w:r>
        <w:rPr>
          <w:szCs w:val="24"/>
        </w:rPr>
        <w:fldChar w:fldCharType="separate"/>
      </w:r>
      <w:r>
        <w:rPr>
          <w:rFonts w:ascii="Times New Roman" w:hAnsi="Times New Roman"/>
          <w:bCs/>
          <w:szCs w:val="32"/>
        </w:rPr>
        <w:t>6</w:t>
      </w:r>
      <w:r>
        <w:rPr>
          <w:rFonts w:hint="eastAsia" w:ascii="Times New Roman" w:hAnsi="Times New Roman"/>
          <w:bCs/>
          <w:szCs w:val="32"/>
        </w:rPr>
        <w:t xml:space="preserve">.1 </w:t>
      </w:r>
      <w:r>
        <w:rPr>
          <w:rFonts w:ascii="Times New Roman" w:hAnsi="Times New Roman"/>
          <w:bCs/>
          <w:szCs w:val="32"/>
        </w:rPr>
        <w:t xml:space="preserve"> </w:t>
      </w:r>
      <w:r>
        <w:rPr>
          <w:rFonts w:hint="eastAsia" w:ascii="Times New Roman" w:hAnsi="Times New Roman"/>
          <w:bCs/>
          <w:szCs w:val="32"/>
        </w:rPr>
        <w:t>安全对策措施</w:t>
      </w:r>
      <w:r>
        <w:tab/>
      </w:r>
      <w:r>
        <w:fldChar w:fldCharType="begin"/>
      </w:r>
      <w:r>
        <w:instrText xml:space="preserve"> PAGEREF _Toc24444 \h </w:instrText>
      </w:r>
      <w:r>
        <w:fldChar w:fldCharType="separate"/>
      </w:r>
      <w:r>
        <w:t>114</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_Toc16551 </w:instrText>
      </w:r>
      <w:r>
        <w:rPr>
          <w:szCs w:val="24"/>
        </w:rPr>
        <w:fldChar w:fldCharType="separate"/>
      </w:r>
      <w:r>
        <w:rPr>
          <w:rFonts w:ascii="Times New Roman" w:hAnsi="Times New Roman"/>
          <w:bCs/>
          <w:szCs w:val="32"/>
        </w:rPr>
        <w:t>6</w:t>
      </w:r>
      <w:r>
        <w:rPr>
          <w:rFonts w:hint="eastAsia" w:ascii="Times New Roman" w:hAnsi="Times New Roman"/>
          <w:bCs/>
          <w:szCs w:val="32"/>
        </w:rPr>
        <w:t xml:space="preserve">.2 </w:t>
      </w:r>
      <w:r>
        <w:rPr>
          <w:rFonts w:ascii="Times New Roman" w:hAnsi="Times New Roman"/>
          <w:bCs/>
          <w:szCs w:val="32"/>
        </w:rPr>
        <w:t xml:space="preserve"> </w:t>
      </w:r>
      <w:r>
        <w:rPr>
          <w:rFonts w:hint="eastAsia" w:ascii="Times New Roman" w:hAnsi="Times New Roman"/>
          <w:bCs/>
          <w:szCs w:val="32"/>
        </w:rPr>
        <w:t>安全管理建议</w:t>
      </w:r>
      <w:r>
        <w:tab/>
      </w:r>
      <w:r>
        <w:fldChar w:fldCharType="begin"/>
      </w:r>
      <w:r>
        <w:instrText xml:space="preserve"> PAGEREF _Toc16551 \h </w:instrText>
      </w:r>
      <w:r>
        <w:fldChar w:fldCharType="separate"/>
      </w:r>
      <w:r>
        <w:t>114</w:t>
      </w:r>
      <w:r>
        <w:fldChar w:fldCharType="end"/>
      </w:r>
      <w:r>
        <w:rPr>
          <w:szCs w:val="24"/>
        </w:rPr>
        <w:fldChar w:fldCharType="end"/>
      </w:r>
    </w:p>
    <w:p>
      <w:pPr>
        <w:pStyle w:val="37"/>
        <w:tabs>
          <w:tab w:val="right" w:leader="dot" w:pos="8306"/>
          <w:tab w:val="clear" w:pos="8302"/>
        </w:tabs>
      </w:pPr>
      <w:r>
        <w:rPr>
          <w:szCs w:val="24"/>
        </w:rPr>
        <w:fldChar w:fldCharType="begin"/>
      </w:r>
      <w:r>
        <w:rPr>
          <w:szCs w:val="24"/>
        </w:rPr>
        <w:instrText xml:space="preserve"> HYPERLINK \l _Toc23474 </w:instrText>
      </w:r>
      <w:r>
        <w:rPr>
          <w:szCs w:val="24"/>
        </w:rPr>
        <w:fldChar w:fldCharType="separate"/>
      </w:r>
      <w:r>
        <w:rPr>
          <w:rFonts w:hint="eastAsia" w:eastAsia="楷体_GB2312"/>
          <w:szCs w:val="36"/>
          <w:lang w:val="en-US" w:eastAsia="zh-CN"/>
        </w:rPr>
        <w:t>7</w:t>
      </w:r>
      <w:r>
        <w:rPr>
          <w:rFonts w:hint="eastAsia" w:eastAsia="楷体_GB2312"/>
          <w:szCs w:val="36"/>
        </w:rPr>
        <w:t xml:space="preserve"> </w:t>
      </w:r>
      <w:r>
        <w:rPr>
          <w:rFonts w:eastAsia="楷体_GB2312"/>
          <w:szCs w:val="36"/>
        </w:rPr>
        <w:t xml:space="preserve"> </w:t>
      </w:r>
      <w:r>
        <w:rPr>
          <w:rFonts w:hint="eastAsia" w:eastAsia="楷体_GB2312"/>
          <w:szCs w:val="36"/>
        </w:rPr>
        <w:t>隐患整改复查情况</w:t>
      </w:r>
      <w:r>
        <w:tab/>
      </w:r>
      <w:r>
        <w:fldChar w:fldCharType="begin"/>
      </w:r>
      <w:r>
        <w:instrText xml:space="preserve"> PAGEREF _Toc23474 \h </w:instrText>
      </w:r>
      <w:r>
        <w:fldChar w:fldCharType="separate"/>
      </w:r>
      <w:r>
        <w:t>117</w:t>
      </w:r>
      <w:r>
        <w:fldChar w:fldCharType="end"/>
      </w:r>
      <w:r>
        <w:rPr>
          <w:szCs w:val="24"/>
        </w:rPr>
        <w:fldChar w:fldCharType="end"/>
      </w:r>
    </w:p>
    <w:p>
      <w:pPr>
        <w:pStyle w:val="37"/>
        <w:tabs>
          <w:tab w:val="right" w:leader="dot" w:pos="8306"/>
          <w:tab w:val="clear" w:pos="8302"/>
        </w:tabs>
      </w:pPr>
      <w:r>
        <w:rPr>
          <w:szCs w:val="24"/>
        </w:rPr>
        <w:fldChar w:fldCharType="begin"/>
      </w:r>
      <w:r>
        <w:rPr>
          <w:szCs w:val="24"/>
        </w:rPr>
        <w:instrText xml:space="preserve"> HYPERLINK \l _Toc2398 </w:instrText>
      </w:r>
      <w:r>
        <w:rPr>
          <w:szCs w:val="24"/>
        </w:rPr>
        <w:fldChar w:fldCharType="separate"/>
      </w:r>
      <w:r>
        <w:rPr>
          <w:rFonts w:hint="eastAsia" w:eastAsia="楷体_GB2312"/>
          <w:szCs w:val="36"/>
          <w:lang w:val="en-US" w:eastAsia="zh-CN"/>
        </w:rPr>
        <w:t>8</w:t>
      </w:r>
      <w:r>
        <w:rPr>
          <w:rFonts w:hint="default" w:eastAsia="楷体_GB2312"/>
          <w:szCs w:val="36"/>
          <w:lang w:val="en-US" w:eastAsia="zh-CN"/>
        </w:rPr>
        <w:t xml:space="preserve"> </w:t>
      </w:r>
      <w:r>
        <w:rPr>
          <w:rFonts w:hint="eastAsia" w:eastAsia="楷体_GB2312"/>
          <w:szCs w:val="36"/>
          <w:lang w:val="en-US" w:eastAsia="zh-CN"/>
        </w:rPr>
        <w:t xml:space="preserve"> </w:t>
      </w:r>
      <w:r>
        <w:rPr>
          <w:rFonts w:hint="default" w:eastAsia="楷体_GB2312"/>
          <w:szCs w:val="36"/>
          <w:lang w:val="en-US" w:eastAsia="zh-CN"/>
        </w:rPr>
        <w:t>安全生产条件分析评价</w:t>
      </w:r>
      <w:r>
        <w:tab/>
      </w:r>
      <w:r>
        <w:fldChar w:fldCharType="begin"/>
      </w:r>
      <w:r>
        <w:instrText xml:space="preserve"> PAGEREF _Toc2398 \h </w:instrText>
      </w:r>
      <w:r>
        <w:fldChar w:fldCharType="separate"/>
      </w:r>
      <w:r>
        <w:t>118</w:t>
      </w:r>
      <w:r>
        <w:fldChar w:fldCharType="end"/>
      </w:r>
      <w:r>
        <w:rPr>
          <w:szCs w:val="24"/>
        </w:rPr>
        <w:fldChar w:fldCharType="end"/>
      </w:r>
    </w:p>
    <w:p>
      <w:pPr>
        <w:pStyle w:val="37"/>
        <w:tabs>
          <w:tab w:val="right" w:leader="dot" w:pos="8306"/>
          <w:tab w:val="clear" w:pos="8302"/>
        </w:tabs>
      </w:pPr>
      <w:r>
        <w:rPr>
          <w:szCs w:val="24"/>
        </w:rPr>
        <w:fldChar w:fldCharType="begin"/>
      </w:r>
      <w:r>
        <w:rPr>
          <w:szCs w:val="24"/>
        </w:rPr>
        <w:instrText xml:space="preserve"> HYPERLINK \l _Toc5283 </w:instrText>
      </w:r>
      <w:r>
        <w:rPr>
          <w:szCs w:val="24"/>
        </w:rPr>
        <w:fldChar w:fldCharType="separate"/>
      </w:r>
      <w:r>
        <w:rPr>
          <w:rFonts w:hint="eastAsia" w:eastAsia="楷体_GB2312"/>
          <w:szCs w:val="36"/>
          <w:lang w:val="en-US" w:eastAsia="zh-CN"/>
        </w:rPr>
        <w:t>9</w:t>
      </w:r>
      <w:r>
        <w:rPr>
          <w:rFonts w:eastAsia="楷体_GB2312"/>
          <w:szCs w:val="36"/>
        </w:rPr>
        <w:t xml:space="preserve"> </w:t>
      </w:r>
      <w:r>
        <w:rPr>
          <w:rFonts w:hint="eastAsia" w:eastAsia="楷体_GB2312"/>
          <w:szCs w:val="36"/>
          <w:lang w:val="en-US" w:eastAsia="zh-CN"/>
        </w:rPr>
        <w:t xml:space="preserve"> </w:t>
      </w:r>
      <w:r>
        <w:rPr>
          <w:rFonts w:hint="eastAsia" w:eastAsia="楷体_GB2312"/>
          <w:szCs w:val="36"/>
        </w:rPr>
        <w:t>安全现状评价结论</w:t>
      </w:r>
      <w:r>
        <w:tab/>
      </w:r>
      <w:r>
        <w:fldChar w:fldCharType="begin"/>
      </w:r>
      <w:r>
        <w:instrText xml:space="preserve"> PAGEREF _Toc5283 \h </w:instrText>
      </w:r>
      <w:r>
        <w:fldChar w:fldCharType="separate"/>
      </w:r>
      <w:r>
        <w:t>124</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_Toc17381 </w:instrText>
      </w:r>
      <w:r>
        <w:rPr>
          <w:szCs w:val="24"/>
        </w:rPr>
        <w:fldChar w:fldCharType="separate"/>
      </w:r>
      <w:r>
        <w:rPr>
          <w:rFonts w:hint="eastAsia" w:ascii="Times New Roman" w:hAnsi="Times New Roman"/>
          <w:bCs/>
          <w:szCs w:val="32"/>
          <w:lang w:val="en-US" w:eastAsia="zh-CN"/>
        </w:rPr>
        <w:t>9</w:t>
      </w:r>
      <w:r>
        <w:rPr>
          <w:rFonts w:hint="eastAsia" w:ascii="Times New Roman" w:hAnsi="Times New Roman"/>
          <w:bCs/>
          <w:szCs w:val="32"/>
        </w:rPr>
        <w:t xml:space="preserve">.1 </w:t>
      </w:r>
      <w:r>
        <w:rPr>
          <w:rFonts w:ascii="Times New Roman" w:hAnsi="Times New Roman"/>
          <w:bCs/>
          <w:szCs w:val="32"/>
        </w:rPr>
        <w:t xml:space="preserve"> </w:t>
      </w:r>
      <w:r>
        <w:rPr>
          <w:rFonts w:hint="eastAsia" w:ascii="Times New Roman" w:hAnsi="Times New Roman"/>
          <w:bCs/>
          <w:szCs w:val="32"/>
          <w:lang w:val="en-US" w:eastAsia="zh-CN"/>
        </w:rPr>
        <w:t>主要危险、有害因素辨识分析结果</w:t>
      </w:r>
      <w:r>
        <w:tab/>
      </w:r>
      <w:r>
        <w:fldChar w:fldCharType="begin"/>
      </w:r>
      <w:r>
        <w:instrText xml:space="preserve"> PAGEREF _Toc17381 \h </w:instrText>
      </w:r>
      <w:r>
        <w:fldChar w:fldCharType="separate"/>
      </w:r>
      <w:r>
        <w:t>124</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_Toc22815 </w:instrText>
      </w:r>
      <w:r>
        <w:rPr>
          <w:szCs w:val="24"/>
        </w:rPr>
        <w:fldChar w:fldCharType="separate"/>
      </w:r>
      <w:r>
        <w:rPr>
          <w:rFonts w:hint="eastAsia" w:ascii="Times New Roman" w:hAnsi="Times New Roman"/>
          <w:bCs/>
          <w:szCs w:val="32"/>
          <w:lang w:val="en-US" w:eastAsia="zh-CN"/>
        </w:rPr>
        <w:t>9</w:t>
      </w:r>
      <w:r>
        <w:rPr>
          <w:rFonts w:hint="eastAsia" w:ascii="Times New Roman" w:hAnsi="Times New Roman"/>
          <w:bCs/>
          <w:szCs w:val="32"/>
        </w:rPr>
        <w:t>.</w:t>
      </w:r>
      <w:r>
        <w:rPr>
          <w:rFonts w:hint="eastAsia" w:ascii="Times New Roman" w:hAnsi="Times New Roman"/>
          <w:bCs/>
          <w:szCs w:val="32"/>
          <w:lang w:val="en-US" w:eastAsia="zh-CN"/>
        </w:rPr>
        <w:t>2</w:t>
      </w:r>
      <w:r>
        <w:rPr>
          <w:rFonts w:hint="eastAsia" w:ascii="Times New Roman" w:hAnsi="Times New Roman"/>
          <w:bCs/>
          <w:szCs w:val="32"/>
        </w:rPr>
        <w:t xml:space="preserve"> </w:t>
      </w:r>
      <w:r>
        <w:rPr>
          <w:rFonts w:ascii="Times New Roman" w:hAnsi="Times New Roman"/>
          <w:bCs/>
          <w:szCs w:val="32"/>
        </w:rPr>
        <w:t xml:space="preserve"> </w:t>
      </w:r>
      <w:r>
        <w:rPr>
          <w:rFonts w:hint="eastAsia" w:ascii="Times New Roman" w:hAnsi="Times New Roman"/>
          <w:bCs/>
          <w:szCs w:val="32"/>
          <w:lang w:val="en-US" w:eastAsia="zh-CN"/>
        </w:rPr>
        <w:t>安全评价结果</w:t>
      </w:r>
      <w:r>
        <w:tab/>
      </w:r>
      <w:r>
        <w:fldChar w:fldCharType="begin"/>
      </w:r>
      <w:r>
        <w:instrText xml:space="preserve"> PAGEREF _Toc22815 \h </w:instrText>
      </w:r>
      <w:r>
        <w:fldChar w:fldCharType="separate"/>
      </w:r>
      <w:r>
        <w:t>124</w:t>
      </w:r>
      <w:r>
        <w:fldChar w:fldCharType="end"/>
      </w:r>
      <w:r>
        <w:rPr>
          <w:szCs w:val="24"/>
        </w:rPr>
        <w:fldChar w:fldCharType="end"/>
      </w:r>
    </w:p>
    <w:p>
      <w:pPr>
        <w:pStyle w:val="43"/>
        <w:tabs>
          <w:tab w:val="right" w:leader="dot" w:pos="8306"/>
          <w:tab w:val="clear" w:pos="8296"/>
        </w:tabs>
      </w:pPr>
      <w:r>
        <w:rPr>
          <w:szCs w:val="24"/>
        </w:rPr>
        <w:fldChar w:fldCharType="begin"/>
      </w:r>
      <w:r>
        <w:rPr>
          <w:szCs w:val="24"/>
        </w:rPr>
        <w:instrText xml:space="preserve"> HYPERLINK \l _Toc11743 </w:instrText>
      </w:r>
      <w:r>
        <w:rPr>
          <w:szCs w:val="24"/>
        </w:rPr>
        <w:fldChar w:fldCharType="separate"/>
      </w:r>
      <w:r>
        <w:rPr>
          <w:rFonts w:hint="eastAsia" w:ascii="Times New Roman" w:hAnsi="Times New Roman"/>
          <w:bCs/>
          <w:szCs w:val="32"/>
          <w:lang w:val="en-US" w:eastAsia="zh-CN"/>
        </w:rPr>
        <w:t>9</w:t>
      </w:r>
      <w:r>
        <w:rPr>
          <w:rFonts w:hint="eastAsia" w:ascii="Times New Roman" w:hAnsi="Times New Roman"/>
          <w:bCs/>
          <w:szCs w:val="32"/>
        </w:rPr>
        <w:t>.</w:t>
      </w:r>
      <w:r>
        <w:rPr>
          <w:rFonts w:hint="eastAsia" w:ascii="Times New Roman" w:hAnsi="Times New Roman"/>
          <w:bCs/>
          <w:szCs w:val="32"/>
          <w:lang w:val="en-US" w:eastAsia="zh-CN"/>
        </w:rPr>
        <w:t>3</w:t>
      </w:r>
      <w:r>
        <w:rPr>
          <w:rFonts w:hint="eastAsia" w:ascii="Times New Roman" w:hAnsi="Times New Roman"/>
          <w:bCs/>
          <w:szCs w:val="32"/>
        </w:rPr>
        <w:t xml:space="preserve"> </w:t>
      </w:r>
      <w:r>
        <w:rPr>
          <w:rFonts w:ascii="Times New Roman" w:hAnsi="Times New Roman"/>
          <w:bCs/>
          <w:szCs w:val="32"/>
        </w:rPr>
        <w:t xml:space="preserve"> </w:t>
      </w:r>
      <w:r>
        <w:rPr>
          <w:rFonts w:hint="eastAsia" w:ascii="Times New Roman" w:hAnsi="Times New Roman"/>
          <w:bCs/>
          <w:szCs w:val="32"/>
          <w:lang w:val="en-US" w:eastAsia="zh-CN"/>
        </w:rPr>
        <w:t>安全评价结论</w:t>
      </w:r>
      <w:r>
        <w:tab/>
      </w:r>
      <w:r>
        <w:fldChar w:fldCharType="begin"/>
      </w:r>
      <w:r>
        <w:instrText xml:space="preserve"> PAGEREF _Toc11743 \h </w:instrText>
      </w:r>
      <w:r>
        <w:fldChar w:fldCharType="separate"/>
      </w:r>
      <w:r>
        <w:t>125</w:t>
      </w:r>
      <w:r>
        <w:fldChar w:fldCharType="end"/>
      </w:r>
      <w:r>
        <w:rPr>
          <w:szCs w:val="24"/>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exact"/>
        <w:textAlignment w:val="auto"/>
        <w:rPr>
          <w:sz w:val="28"/>
          <w:szCs w:val="28"/>
        </w:rPr>
      </w:pPr>
      <w:r>
        <w:rPr>
          <w:szCs w:val="24"/>
        </w:rPr>
        <w:fldChar w:fldCharType="end"/>
      </w:r>
    </w:p>
    <w:p>
      <w:pPr>
        <w:adjustRightInd w:val="0"/>
        <w:snapToGrid w:val="0"/>
        <w:spacing w:line="360" w:lineRule="auto"/>
        <w:rPr>
          <w:rStyle w:val="59"/>
          <w:b/>
          <w:snapToGrid w:val="0"/>
          <w:color w:val="auto"/>
          <w:kern w:val="0"/>
          <w:sz w:val="28"/>
          <w:szCs w:val="28"/>
          <w:u w:val="none"/>
        </w:rPr>
      </w:pPr>
    </w:p>
    <w:p>
      <w:pPr>
        <w:adjustRightInd w:val="0"/>
        <w:snapToGrid w:val="0"/>
        <w:spacing w:line="360" w:lineRule="auto"/>
        <w:rPr>
          <w:sz w:val="28"/>
          <w:szCs w:val="28"/>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p>
    <w:p>
      <w:pPr>
        <w:pStyle w:val="3"/>
        <w:adjustRightInd w:val="0"/>
        <w:snapToGrid w:val="0"/>
        <w:spacing w:line="360" w:lineRule="auto"/>
        <w:rPr>
          <w:rFonts w:eastAsia="楷体_GB2312"/>
          <w:b/>
          <w:sz w:val="36"/>
          <w:szCs w:val="36"/>
        </w:rPr>
      </w:pPr>
      <w:bookmarkStart w:id="0" w:name="_Toc20820"/>
      <w:r>
        <w:rPr>
          <w:rFonts w:hint="eastAsia" w:eastAsia="楷体_GB2312"/>
          <w:b/>
          <w:sz w:val="36"/>
          <w:szCs w:val="36"/>
        </w:rPr>
        <w:t>1</w:t>
      </w:r>
      <w:r>
        <w:rPr>
          <w:rFonts w:eastAsia="楷体_GB2312"/>
          <w:b/>
          <w:sz w:val="36"/>
          <w:szCs w:val="36"/>
        </w:rPr>
        <w:t xml:space="preserve"> </w:t>
      </w:r>
      <w:r>
        <w:rPr>
          <w:rFonts w:hint="eastAsia" w:eastAsia="楷体_GB2312"/>
          <w:b/>
          <w:sz w:val="36"/>
          <w:szCs w:val="36"/>
        </w:rPr>
        <w:t>总则</w:t>
      </w:r>
      <w:bookmarkEnd w:id="0"/>
    </w:p>
    <w:p>
      <w:pPr>
        <w:pStyle w:val="4"/>
        <w:adjustRightInd w:val="0"/>
        <w:snapToGrid w:val="0"/>
        <w:spacing w:before="0" w:after="0" w:line="360" w:lineRule="auto"/>
        <w:rPr>
          <w:rFonts w:ascii="Times New Roman" w:hAnsi="Times New Roman"/>
          <w:b w:val="0"/>
          <w:bCs/>
          <w:szCs w:val="32"/>
        </w:rPr>
      </w:pPr>
      <w:bookmarkStart w:id="1" w:name="_Toc202759398"/>
      <w:bookmarkStart w:id="2" w:name="_Toc2541"/>
      <w:r>
        <w:rPr>
          <w:rFonts w:hint="eastAsia" w:ascii="Times New Roman" w:hAnsi="Times New Roman"/>
          <w:b w:val="0"/>
          <w:bCs/>
          <w:szCs w:val="32"/>
        </w:rPr>
        <w:t>1.1</w:t>
      </w:r>
      <w:r>
        <w:rPr>
          <w:rFonts w:ascii="Times New Roman" w:hAnsi="Times New Roman"/>
          <w:b w:val="0"/>
          <w:bCs/>
          <w:szCs w:val="32"/>
        </w:rPr>
        <w:t xml:space="preserve"> </w:t>
      </w:r>
      <w:r>
        <w:rPr>
          <w:rFonts w:hint="eastAsia" w:ascii="Times New Roman" w:hAnsi="Times New Roman"/>
          <w:b w:val="0"/>
          <w:bCs/>
          <w:szCs w:val="32"/>
        </w:rPr>
        <w:t>评价目的</w:t>
      </w:r>
      <w:bookmarkEnd w:id="1"/>
      <w:bookmarkEnd w:id="2"/>
    </w:p>
    <w:p>
      <w:pPr>
        <w:adjustRightInd w:val="0"/>
        <w:snapToGrid w:val="0"/>
        <w:spacing w:line="360" w:lineRule="auto"/>
        <w:ind w:firstLine="560" w:firstLineChars="200"/>
        <w:rPr>
          <w:sz w:val="28"/>
          <w:szCs w:val="28"/>
        </w:rPr>
      </w:pPr>
      <w:r>
        <w:rPr>
          <w:rFonts w:hint="eastAsia"/>
          <w:sz w:val="28"/>
          <w:szCs w:val="28"/>
        </w:rPr>
        <w:t>1、按照《安全生产许可证条例》（国务院令[2004]第397号，2014修订版）、《非煤矿矿山企业安全生产许可证实施办法》（国家安全生产监督管理总局令[2009]第20号，2015修订版）的规定，陆上石油天然气企业必须进行安全现状评价，通过评价做出客观的评价结论，明确被评价单位是否具备陆上石油天然气企业的各项安全生产条件，</w:t>
      </w:r>
      <w:r>
        <w:rPr>
          <w:rFonts w:hint="eastAsia"/>
          <w:color w:val="auto"/>
          <w:sz w:val="28"/>
          <w:szCs w:val="28"/>
        </w:rPr>
        <w:t>为</w:t>
      </w:r>
      <w:r>
        <w:rPr>
          <w:rFonts w:hint="eastAsia"/>
          <w:color w:val="auto"/>
          <w:sz w:val="28"/>
          <w:szCs w:val="28"/>
          <w:lang w:val="en-US" w:eastAsia="zh-CN"/>
        </w:rPr>
        <w:t>应急</w:t>
      </w:r>
      <w:r>
        <w:rPr>
          <w:rFonts w:hint="eastAsia"/>
          <w:color w:val="auto"/>
          <w:sz w:val="28"/>
          <w:szCs w:val="28"/>
        </w:rPr>
        <w:t>管理部门实施</w:t>
      </w:r>
      <w:r>
        <w:rPr>
          <w:rFonts w:hint="eastAsia"/>
          <w:sz w:val="28"/>
          <w:szCs w:val="28"/>
        </w:rPr>
        <w:t>监督管理提供依据。</w:t>
      </w:r>
    </w:p>
    <w:p>
      <w:pPr>
        <w:adjustRightInd w:val="0"/>
        <w:snapToGrid w:val="0"/>
        <w:spacing w:line="360" w:lineRule="auto"/>
        <w:ind w:firstLine="560" w:firstLineChars="200"/>
        <w:rPr>
          <w:rFonts w:cs="宋体"/>
          <w:kern w:val="0"/>
          <w:sz w:val="28"/>
          <w:szCs w:val="28"/>
        </w:rPr>
      </w:pPr>
      <w:r>
        <w:rPr>
          <w:rFonts w:hint="eastAsia"/>
          <w:sz w:val="28"/>
          <w:szCs w:val="28"/>
        </w:rPr>
        <w:t>2、通过对</w:t>
      </w:r>
      <w:r>
        <w:rPr>
          <w:rFonts w:hint="eastAsia"/>
          <w:sz w:val="28"/>
          <w:szCs w:val="28"/>
          <w:lang w:eastAsia="zh-CN"/>
        </w:rPr>
        <w:t>斯伦贝谢油田技术（山东）有限公司钻井（定向施工）项目</w:t>
      </w:r>
      <w:r>
        <w:rPr>
          <w:rFonts w:hint="eastAsia"/>
          <w:sz w:val="28"/>
          <w:szCs w:val="28"/>
        </w:rPr>
        <w:t>现有的生产</w:t>
      </w:r>
      <w:r>
        <w:rPr>
          <w:sz w:val="28"/>
          <w:szCs w:val="28"/>
        </w:rPr>
        <w:t>设施、设备</w:t>
      </w:r>
      <w:r>
        <w:rPr>
          <w:rFonts w:hint="eastAsia"/>
          <w:sz w:val="28"/>
          <w:szCs w:val="28"/>
        </w:rPr>
        <w:t>的</w:t>
      </w:r>
      <w:r>
        <w:rPr>
          <w:sz w:val="28"/>
          <w:szCs w:val="28"/>
        </w:rPr>
        <w:t>实际运行状况及管理状况的</w:t>
      </w:r>
      <w:r>
        <w:rPr>
          <w:rFonts w:hint="eastAsia"/>
          <w:sz w:val="28"/>
          <w:szCs w:val="28"/>
        </w:rPr>
        <w:t>调查、分析，识别作业</w:t>
      </w:r>
      <w:r>
        <w:rPr>
          <w:rFonts w:hint="eastAsia" w:cs="宋体"/>
          <w:kern w:val="0"/>
          <w:sz w:val="28"/>
          <w:szCs w:val="28"/>
        </w:rPr>
        <w:t>过程中存在的主</w:t>
      </w:r>
      <w:r>
        <w:rPr>
          <w:rFonts w:hint="eastAsia" w:cs="宋体"/>
          <w:color w:val="auto"/>
          <w:kern w:val="0"/>
          <w:sz w:val="28"/>
          <w:szCs w:val="28"/>
        </w:rPr>
        <w:t>要危险、有害因素，对企业在</w:t>
      </w:r>
      <w:r>
        <w:rPr>
          <w:rFonts w:hint="eastAsia" w:cs="宋体"/>
          <w:color w:val="auto"/>
          <w:kern w:val="0"/>
          <w:sz w:val="28"/>
          <w:szCs w:val="28"/>
          <w:lang w:val="en-US" w:eastAsia="zh-CN"/>
        </w:rPr>
        <w:t>现场作业、</w:t>
      </w:r>
      <w:r>
        <w:rPr>
          <w:rFonts w:hint="eastAsia" w:cs="宋体"/>
          <w:color w:val="auto"/>
          <w:kern w:val="0"/>
          <w:sz w:val="28"/>
          <w:szCs w:val="28"/>
        </w:rPr>
        <w:t>安全管理方面与标准和法</w:t>
      </w:r>
      <w:r>
        <w:rPr>
          <w:rFonts w:hint="eastAsia" w:cs="宋体"/>
          <w:kern w:val="0"/>
          <w:sz w:val="28"/>
          <w:szCs w:val="28"/>
        </w:rPr>
        <w:t>规的符合性进行评价，对不符合国家标准的作法提出整改建议并补充相应的安全对策措施。</w:t>
      </w:r>
    </w:p>
    <w:p>
      <w:pPr>
        <w:pStyle w:val="4"/>
        <w:adjustRightInd w:val="0"/>
        <w:snapToGrid w:val="0"/>
        <w:spacing w:before="0" w:after="0" w:line="360" w:lineRule="auto"/>
        <w:rPr>
          <w:rFonts w:ascii="Times New Roman" w:hAnsi="Times New Roman"/>
          <w:b w:val="0"/>
          <w:bCs/>
          <w:szCs w:val="32"/>
        </w:rPr>
      </w:pPr>
      <w:bookmarkStart w:id="3" w:name="_Toc24073"/>
      <w:r>
        <w:rPr>
          <w:rFonts w:hint="eastAsia" w:ascii="Times New Roman" w:hAnsi="Times New Roman"/>
          <w:b w:val="0"/>
          <w:bCs/>
          <w:szCs w:val="32"/>
        </w:rPr>
        <w:t>1.2</w:t>
      </w:r>
      <w:r>
        <w:rPr>
          <w:rFonts w:ascii="Times New Roman" w:hAnsi="Times New Roman"/>
          <w:b w:val="0"/>
          <w:bCs/>
          <w:szCs w:val="32"/>
        </w:rPr>
        <w:t xml:space="preserve"> </w:t>
      </w:r>
      <w:r>
        <w:rPr>
          <w:rFonts w:hint="eastAsia" w:ascii="Times New Roman" w:hAnsi="Times New Roman"/>
          <w:b w:val="0"/>
          <w:bCs/>
          <w:szCs w:val="32"/>
        </w:rPr>
        <w:t>评价依据</w:t>
      </w:r>
      <w:bookmarkEnd w:id="3"/>
    </w:p>
    <w:p>
      <w:pPr>
        <w:pStyle w:val="6"/>
        <w:adjustRightInd w:val="0"/>
        <w:snapToGrid w:val="0"/>
        <w:spacing w:before="0" w:after="0" w:line="360" w:lineRule="auto"/>
        <w:rPr>
          <w:rFonts w:eastAsia="黑体"/>
          <w:b w:val="0"/>
          <w:snapToGrid w:val="0"/>
          <w:kern w:val="0"/>
          <w:sz w:val="28"/>
          <w:szCs w:val="28"/>
        </w:rPr>
      </w:pPr>
      <w:bookmarkStart w:id="4" w:name="_Toc215277127"/>
      <w:bookmarkStart w:id="5" w:name="_Toc215277128"/>
      <w:r>
        <w:rPr>
          <w:rFonts w:hint="eastAsia" w:eastAsia="黑体"/>
          <w:b w:val="0"/>
          <w:snapToGrid w:val="0"/>
          <w:kern w:val="0"/>
          <w:sz w:val="28"/>
          <w:szCs w:val="28"/>
        </w:rPr>
        <w:t>1</w:t>
      </w:r>
      <w:r>
        <w:rPr>
          <w:rFonts w:eastAsia="黑体"/>
          <w:b w:val="0"/>
          <w:snapToGrid w:val="0"/>
          <w:kern w:val="0"/>
          <w:sz w:val="28"/>
          <w:szCs w:val="28"/>
        </w:rPr>
        <w:t>.2.1</w:t>
      </w:r>
      <w:r>
        <w:rPr>
          <w:rFonts w:hint="eastAsia" w:eastAsia="黑体"/>
          <w:b w:val="0"/>
          <w:snapToGrid w:val="0"/>
          <w:kern w:val="0"/>
          <w:sz w:val="28"/>
          <w:szCs w:val="28"/>
        </w:rPr>
        <w:t xml:space="preserve"> 法律</w:t>
      </w:r>
    </w:p>
    <w:p>
      <w:pPr>
        <w:pStyle w:val="125"/>
        <w:numPr>
          <w:ilvl w:val="0"/>
          <w:numId w:val="3"/>
        </w:numPr>
        <w:adjustRightInd w:val="0"/>
        <w:snapToGrid w:val="0"/>
        <w:spacing w:line="360" w:lineRule="auto"/>
        <w:ind w:left="0" w:firstLine="560"/>
        <w:rPr>
          <w:b w:val="0"/>
          <w:bCs w:val="0"/>
          <w:color w:val="auto"/>
          <w:sz w:val="28"/>
        </w:rPr>
      </w:pPr>
      <w:r>
        <w:rPr>
          <w:rFonts w:hint="eastAsia"/>
          <w:color w:val="auto"/>
          <w:sz w:val="28"/>
        </w:rPr>
        <w:t>《中华人民共和国安全生产法》</w:t>
      </w:r>
      <w:r>
        <w:rPr>
          <w:rFonts w:hint="eastAsia"/>
          <w:b w:val="0"/>
          <w:bCs w:val="0"/>
          <w:color w:val="auto"/>
          <w:sz w:val="28"/>
          <w:szCs w:val="28"/>
        </w:rPr>
        <w:t>主席令</w:t>
      </w:r>
      <w:r>
        <w:rPr>
          <w:rFonts w:hint="eastAsia"/>
          <w:b w:val="0"/>
          <w:bCs w:val="0"/>
          <w:color w:val="auto"/>
          <w:sz w:val="28"/>
          <w:szCs w:val="28"/>
          <w:lang w:val="en-US" w:eastAsia="zh-CN"/>
        </w:rPr>
        <w:t>[2002]第70号，经第13号，</w:t>
      </w:r>
      <w:r>
        <w:rPr>
          <w:rFonts w:hint="eastAsia"/>
          <w:b w:val="0"/>
          <w:bCs w:val="0"/>
          <w:color w:val="auto"/>
          <w:sz w:val="28"/>
          <w:szCs w:val="28"/>
        </w:rPr>
        <w:t>第</w:t>
      </w:r>
      <w:r>
        <w:rPr>
          <w:rFonts w:hint="eastAsia"/>
          <w:b w:val="0"/>
          <w:bCs w:val="0"/>
          <w:color w:val="auto"/>
          <w:sz w:val="28"/>
          <w:szCs w:val="28"/>
          <w:lang w:val="en-US" w:eastAsia="zh-CN"/>
        </w:rPr>
        <w:t>88</w:t>
      </w:r>
      <w:r>
        <w:rPr>
          <w:rFonts w:hint="eastAsia"/>
          <w:b w:val="0"/>
          <w:bCs w:val="0"/>
          <w:color w:val="auto"/>
          <w:sz w:val="28"/>
          <w:szCs w:val="28"/>
        </w:rPr>
        <w:t>号</w:t>
      </w:r>
      <w:r>
        <w:rPr>
          <w:rFonts w:hint="eastAsia"/>
          <w:b w:val="0"/>
          <w:bCs w:val="0"/>
          <w:color w:val="auto"/>
          <w:sz w:val="28"/>
          <w:szCs w:val="28"/>
          <w:lang w:val="en-US" w:eastAsia="zh-CN"/>
        </w:rPr>
        <w:t>修订</w:t>
      </w:r>
    </w:p>
    <w:p>
      <w:pPr>
        <w:pStyle w:val="125"/>
        <w:numPr>
          <w:ilvl w:val="0"/>
          <w:numId w:val="3"/>
        </w:numPr>
        <w:adjustRightInd w:val="0"/>
        <w:snapToGrid w:val="0"/>
        <w:spacing w:line="360" w:lineRule="auto"/>
        <w:ind w:left="0" w:firstLine="560"/>
        <w:rPr>
          <w:sz w:val="28"/>
        </w:rPr>
      </w:pPr>
      <w:r>
        <w:rPr>
          <w:rFonts w:hint="eastAsia"/>
          <w:sz w:val="28"/>
        </w:rPr>
        <w:t>《中华人民共和国劳动法》主席令[1994]第28号</w:t>
      </w:r>
    </w:p>
    <w:p>
      <w:pPr>
        <w:pStyle w:val="125"/>
        <w:numPr>
          <w:ilvl w:val="0"/>
          <w:numId w:val="3"/>
        </w:numPr>
        <w:adjustRightInd w:val="0"/>
        <w:snapToGrid w:val="0"/>
        <w:spacing w:line="360" w:lineRule="auto"/>
        <w:ind w:left="0" w:firstLine="560"/>
        <w:rPr>
          <w:sz w:val="28"/>
        </w:rPr>
      </w:pPr>
      <w:r>
        <w:rPr>
          <w:rFonts w:hint="eastAsia"/>
          <w:sz w:val="28"/>
        </w:rPr>
        <w:t>《中华人民共和国突发事件应对法》主席令[2007]第69号</w:t>
      </w:r>
    </w:p>
    <w:p>
      <w:pPr>
        <w:pStyle w:val="125"/>
        <w:numPr>
          <w:ilvl w:val="0"/>
          <w:numId w:val="3"/>
        </w:numPr>
        <w:adjustRightInd w:val="0"/>
        <w:snapToGrid w:val="0"/>
        <w:spacing w:line="360" w:lineRule="auto"/>
        <w:ind w:left="0" w:firstLine="560"/>
        <w:rPr>
          <w:color w:val="FF0000"/>
          <w:sz w:val="28"/>
        </w:rPr>
      </w:pPr>
      <w:r>
        <w:rPr>
          <w:rFonts w:hint="eastAsia"/>
          <w:color w:val="auto"/>
          <w:sz w:val="28"/>
        </w:rPr>
        <w:t>《中华人民共和国消防法》</w:t>
      </w:r>
      <w:r>
        <w:rPr>
          <w:rFonts w:hint="eastAsia"/>
          <w:snapToGrid w:val="0"/>
          <w:color w:val="auto"/>
          <w:kern w:val="0"/>
          <w:sz w:val="28"/>
          <w:szCs w:val="28"/>
        </w:rPr>
        <w:t>主</w:t>
      </w:r>
      <w:r>
        <w:rPr>
          <w:rFonts w:hint="eastAsia"/>
          <w:snapToGrid w:val="0"/>
          <w:kern w:val="0"/>
          <w:sz w:val="28"/>
          <w:szCs w:val="28"/>
        </w:rPr>
        <w:t>席令[2008]第6号，2019年4月23日第十三届全国人民代表大会常务委员会第十次会议修正，主席令[2021]第81号修订</w:t>
      </w:r>
    </w:p>
    <w:p>
      <w:pPr>
        <w:pStyle w:val="125"/>
        <w:numPr>
          <w:ilvl w:val="0"/>
          <w:numId w:val="3"/>
        </w:numPr>
        <w:adjustRightInd w:val="0"/>
        <w:snapToGrid w:val="0"/>
        <w:spacing w:line="360" w:lineRule="auto"/>
        <w:ind w:left="0" w:firstLine="560"/>
        <w:rPr>
          <w:sz w:val="28"/>
        </w:rPr>
      </w:pPr>
      <w:r>
        <w:rPr>
          <w:rFonts w:hint="eastAsia"/>
          <w:sz w:val="28"/>
        </w:rPr>
        <w:t>《中华人民共和国防震减灾法》主席令[2008]第7号</w:t>
      </w:r>
    </w:p>
    <w:p>
      <w:pPr>
        <w:pStyle w:val="125"/>
        <w:numPr>
          <w:ilvl w:val="0"/>
          <w:numId w:val="3"/>
        </w:numPr>
        <w:adjustRightInd w:val="0"/>
        <w:snapToGrid w:val="0"/>
        <w:spacing w:line="360" w:lineRule="auto"/>
        <w:ind w:left="0" w:firstLine="560"/>
        <w:rPr>
          <w:sz w:val="28"/>
        </w:rPr>
      </w:pPr>
      <w:r>
        <w:rPr>
          <w:rFonts w:hint="eastAsia"/>
          <w:sz w:val="28"/>
        </w:rPr>
        <w:t>《中华人民共和国职业病防治法》主席令[2011]第52号，201</w:t>
      </w:r>
      <w:r>
        <w:rPr>
          <w:sz w:val="28"/>
        </w:rPr>
        <w:t>8</w:t>
      </w:r>
      <w:r>
        <w:rPr>
          <w:rFonts w:hint="eastAsia"/>
          <w:sz w:val="28"/>
        </w:rPr>
        <w:t>修订版</w:t>
      </w:r>
    </w:p>
    <w:p>
      <w:pPr>
        <w:pStyle w:val="125"/>
        <w:numPr>
          <w:ilvl w:val="0"/>
          <w:numId w:val="3"/>
        </w:numPr>
        <w:adjustRightInd w:val="0"/>
        <w:snapToGrid w:val="0"/>
        <w:spacing w:line="360" w:lineRule="auto"/>
        <w:ind w:left="0" w:firstLine="560"/>
        <w:rPr>
          <w:sz w:val="28"/>
        </w:rPr>
      </w:pPr>
      <w:r>
        <w:rPr>
          <w:rFonts w:hint="eastAsia"/>
          <w:sz w:val="28"/>
        </w:rPr>
        <w:t>《中华人民共和国特种设备安全法》主席令[2013]第4号</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1</w:t>
      </w:r>
      <w:r>
        <w:rPr>
          <w:rFonts w:eastAsia="黑体"/>
          <w:b w:val="0"/>
          <w:snapToGrid w:val="0"/>
          <w:kern w:val="0"/>
          <w:sz w:val="28"/>
          <w:szCs w:val="28"/>
        </w:rPr>
        <w:t>.2.</w:t>
      </w:r>
      <w:r>
        <w:rPr>
          <w:rFonts w:hint="eastAsia" w:eastAsia="黑体"/>
          <w:b w:val="0"/>
          <w:snapToGrid w:val="0"/>
          <w:kern w:val="0"/>
          <w:sz w:val="28"/>
          <w:szCs w:val="28"/>
        </w:rPr>
        <w:t>2 行政法规</w:t>
      </w:r>
    </w:p>
    <w:p>
      <w:pPr>
        <w:pStyle w:val="125"/>
        <w:numPr>
          <w:ilvl w:val="0"/>
          <w:numId w:val="4"/>
        </w:numPr>
        <w:adjustRightInd w:val="0"/>
        <w:snapToGrid w:val="0"/>
        <w:spacing w:line="360" w:lineRule="auto"/>
        <w:ind w:left="0" w:firstLine="560"/>
        <w:rPr>
          <w:sz w:val="28"/>
        </w:rPr>
      </w:pPr>
      <w:r>
        <w:rPr>
          <w:rFonts w:hint="eastAsia"/>
          <w:sz w:val="28"/>
        </w:rPr>
        <w:t>《安全生产许可证条例》国务院令[2004]第397号，2</w:t>
      </w:r>
      <w:r>
        <w:rPr>
          <w:sz w:val="28"/>
        </w:rPr>
        <w:t>014</w:t>
      </w:r>
      <w:r>
        <w:rPr>
          <w:rFonts w:hint="eastAsia"/>
          <w:sz w:val="28"/>
        </w:rPr>
        <w:t>修订版</w:t>
      </w:r>
    </w:p>
    <w:p>
      <w:pPr>
        <w:pStyle w:val="125"/>
        <w:numPr>
          <w:ilvl w:val="0"/>
          <w:numId w:val="4"/>
        </w:numPr>
        <w:adjustRightInd w:val="0"/>
        <w:snapToGrid w:val="0"/>
        <w:spacing w:line="360" w:lineRule="auto"/>
        <w:ind w:left="0" w:firstLine="560"/>
        <w:rPr>
          <w:sz w:val="28"/>
        </w:rPr>
      </w:pPr>
      <w:r>
        <w:rPr>
          <w:rFonts w:hint="eastAsia"/>
          <w:sz w:val="28"/>
        </w:rPr>
        <w:t>《特种设备安全监察条例》国务院令[2009]第549号</w:t>
      </w:r>
    </w:p>
    <w:p>
      <w:pPr>
        <w:pStyle w:val="125"/>
        <w:numPr>
          <w:ilvl w:val="0"/>
          <w:numId w:val="4"/>
        </w:numPr>
        <w:adjustRightInd w:val="0"/>
        <w:snapToGrid w:val="0"/>
        <w:spacing w:line="360" w:lineRule="auto"/>
        <w:ind w:left="0" w:firstLine="560"/>
        <w:rPr>
          <w:sz w:val="28"/>
        </w:rPr>
      </w:pPr>
      <w:r>
        <w:rPr>
          <w:rFonts w:hint="eastAsia"/>
          <w:sz w:val="28"/>
        </w:rPr>
        <w:t>《工伤保险条例》国务院令[2010]第586号</w:t>
      </w:r>
    </w:p>
    <w:p>
      <w:pPr>
        <w:pStyle w:val="125"/>
        <w:numPr>
          <w:ilvl w:val="0"/>
          <w:numId w:val="4"/>
        </w:numPr>
        <w:adjustRightInd w:val="0"/>
        <w:snapToGrid w:val="0"/>
        <w:spacing w:line="360" w:lineRule="auto"/>
        <w:ind w:left="0" w:firstLine="560"/>
        <w:rPr>
          <w:sz w:val="28"/>
        </w:rPr>
      </w:pPr>
      <w:r>
        <w:rPr>
          <w:rFonts w:hint="eastAsia" w:ascii="Times New Roman" w:hAnsi="Times New Roman" w:eastAsia="宋体" w:cs="Times New Roman"/>
          <w:bCs/>
          <w:smallCaps w:val="0"/>
          <w:sz w:val="28"/>
          <w:szCs w:val="28"/>
          <w:lang w:val="en-US" w:eastAsia="zh-CN"/>
        </w:rPr>
        <w:t>《危险化学品管理安全管理条例》国务院令[2013]第645号修订</w:t>
      </w:r>
    </w:p>
    <w:p>
      <w:pPr>
        <w:pStyle w:val="125"/>
        <w:numPr>
          <w:ilvl w:val="0"/>
          <w:numId w:val="4"/>
        </w:numPr>
        <w:adjustRightInd w:val="0"/>
        <w:snapToGrid w:val="0"/>
        <w:spacing w:line="360" w:lineRule="auto"/>
        <w:ind w:left="0" w:firstLine="560"/>
        <w:rPr>
          <w:sz w:val="28"/>
        </w:rPr>
      </w:pPr>
      <w:r>
        <w:rPr>
          <w:rFonts w:ascii="Times New Roman" w:hAnsi="Times New Roman" w:cs="Times New Roman"/>
          <w:bCs/>
          <w:smallCaps w:val="0"/>
          <w:sz w:val="28"/>
          <w:szCs w:val="28"/>
        </w:rPr>
        <w:t>《生产安全事故应急条例》国务院令[2019]第708号</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1</w:t>
      </w:r>
      <w:r>
        <w:rPr>
          <w:rFonts w:eastAsia="黑体"/>
          <w:b w:val="0"/>
          <w:snapToGrid w:val="0"/>
          <w:kern w:val="0"/>
          <w:sz w:val="28"/>
          <w:szCs w:val="28"/>
        </w:rPr>
        <w:t>.2</w:t>
      </w:r>
      <w:r>
        <w:rPr>
          <w:rFonts w:hint="eastAsia" w:eastAsia="黑体"/>
          <w:b w:val="0"/>
          <w:snapToGrid w:val="0"/>
          <w:kern w:val="0"/>
          <w:sz w:val="28"/>
          <w:szCs w:val="28"/>
        </w:rPr>
        <w:t>.3 地方性法规</w:t>
      </w:r>
    </w:p>
    <w:p>
      <w:pPr>
        <w:pStyle w:val="125"/>
        <w:numPr>
          <w:ilvl w:val="0"/>
          <w:numId w:val="5"/>
        </w:numPr>
        <w:adjustRightInd w:val="0"/>
        <w:snapToGrid w:val="0"/>
        <w:spacing w:line="360" w:lineRule="auto"/>
        <w:ind w:left="0" w:firstLine="560"/>
        <w:rPr>
          <w:color w:val="FF0000"/>
          <w:sz w:val="28"/>
        </w:rPr>
      </w:pPr>
      <w:r>
        <w:rPr>
          <w:rFonts w:hint="eastAsia"/>
          <w:color w:val="auto"/>
          <w:sz w:val="28"/>
        </w:rPr>
        <w:t>《山东省安全生产</w:t>
      </w:r>
      <w:r>
        <w:rPr>
          <w:rFonts w:hint="eastAsia" w:ascii="Times New Roman" w:hAnsi="Times New Roman" w:eastAsia="宋体" w:cs="Times New Roman"/>
          <w:color w:val="auto"/>
          <w:sz w:val="28"/>
        </w:rPr>
        <w:t>条例》</w:t>
      </w:r>
      <w:r>
        <w:rPr>
          <w:rFonts w:hint="default" w:ascii="Times New Roman" w:hAnsi="Times New Roman" w:eastAsia="宋体" w:cs="Times New Roman"/>
          <w:color w:val="auto"/>
          <w:sz w:val="28"/>
        </w:rPr>
        <w:t>2021</w:t>
      </w:r>
      <w:r>
        <w:rPr>
          <w:rFonts w:hint="default" w:ascii="Times New Roman" w:hAnsi="Times New Roman" w:eastAsia="宋体" w:cs="Times New Roman"/>
          <w:sz w:val="28"/>
        </w:rPr>
        <w:t>年12月3日山东省第十三届人民代表大会常务委员会第三十二次会议修订</w:t>
      </w:r>
    </w:p>
    <w:p>
      <w:pPr>
        <w:pStyle w:val="125"/>
        <w:numPr>
          <w:ilvl w:val="0"/>
          <w:numId w:val="5"/>
        </w:numPr>
        <w:adjustRightInd w:val="0"/>
        <w:snapToGrid w:val="0"/>
        <w:spacing w:line="360" w:lineRule="auto"/>
        <w:ind w:left="0" w:firstLine="560"/>
        <w:rPr>
          <w:b w:val="0"/>
          <w:bCs w:val="0"/>
          <w:color w:val="FF0000"/>
          <w:sz w:val="28"/>
        </w:rPr>
      </w:pPr>
      <w:r>
        <w:rPr>
          <w:rFonts w:hint="eastAsia" w:cs="Times New Roman"/>
          <w:b w:val="0"/>
          <w:bCs w:val="0"/>
          <w:sz w:val="28"/>
          <w:lang w:eastAsia="zh-CN"/>
        </w:rPr>
        <w:t>《</w:t>
      </w:r>
      <w:r>
        <w:rPr>
          <w:rFonts w:hint="eastAsia" w:cs="Times New Roman"/>
          <w:b w:val="0"/>
          <w:bCs w:val="0"/>
          <w:sz w:val="28"/>
          <w:lang w:val="en-US" w:eastAsia="zh-CN"/>
        </w:rPr>
        <w:t>山</w:t>
      </w:r>
      <w:r>
        <w:rPr>
          <w:rFonts w:hint="eastAsia" w:ascii="Times New Roman" w:hAnsi="Times New Roman" w:eastAsia="宋体" w:cs="Times New Roman"/>
          <w:b w:val="0"/>
          <w:bCs w:val="0"/>
          <w:color w:val="auto"/>
          <w:sz w:val="28"/>
          <w:lang w:val="en-US" w:eastAsia="zh-CN"/>
        </w:rPr>
        <w:t>东省消防条例》</w:t>
      </w:r>
      <w:r>
        <w:rPr>
          <w:rFonts w:hint="default" w:ascii="Times New Roman" w:hAnsi="Times New Roman" w:eastAsia="宋体" w:cs="Times New Roman"/>
          <w:b w:val="0"/>
          <w:bCs w:val="0"/>
          <w:color w:val="auto"/>
          <w:sz w:val="28"/>
        </w:rPr>
        <w:t>山东省第九届人大常委会第5次会议通过；根据山东省第十届人大常委会第9次会议《关于修改〈山东省水路交通管理条例〉等十二件地方性法规的决定》修正；山东省第十一届人大常委会第21次会议修订；山东省人民代表大会常务委员会公告[2015]第100号修改</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1</w:t>
      </w:r>
      <w:r>
        <w:rPr>
          <w:rFonts w:eastAsia="黑体"/>
          <w:b w:val="0"/>
          <w:snapToGrid w:val="0"/>
          <w:kern w:val="0"/>
          <w:sz w:val="28"/>
          <w:szCs w:val="28"/>
        </w:rPr>
        <w:t>.2</w:t>
      </w:r>
      <w:r>
        <w:rPr>
          <w:rFonts w:hint="eastAsia" w:eastAsia="黑体"/>
          <w:b w:val="0"/>
          <w:snapToGrid w:val="0"/>
          <w:kern w:val="0"/>
          <w:sz w:val="28"/>
          <w:szCs w:val="28"/>
        </w:rPr>
        <w:t>.4 部门规章</w:t>
      </w:r>
    </w:p>
    <w:p>
      <w:pPr>
        <w:pStyle w:val="125"/>
        <w:numPr>
          <w:ilvl w:val="0"/>
          <w:numId w:val="6"/>
        </w:numPr>
        <w:adjustRightInd w:val="0"/>
        <w:snapToGrid w:val="0"/>
        <w:spacing w:line="360" w:lineRule="auto"/>
        <w:ind w:left="0" w:firstLine="560"/>
        <w:rPr>
          <w:sz w:val="28"/>
        </w:rPr>
      </w:pPr>
      <w:r>
        <w:rPr>
          <w:rFonts w:hint="eastAsia"/>
          <w:sz w:val="28"/>
        </w:rPr>
        <w:t>《生产经营单位安全培训规定》国家安全监督管理总局令[2006]第3号，2015修订版</w:t>
      </w:r>
    </w:p>
    <w:p>
      <w:pPr>
        <w:pStyle w:val="125"/>
        <w:numPr>
          <w:ilvl w:val="0"/>
          <w:numId w:val="6"/>
        </w:numPr>
        <w:adjustRightInd w:val="0"/>
        <w:snapToGrid w:val="0"/>
        <w:spacing w:line="360" w:lineRule="auto"/>
        <w:ind w:left="0" w:firstLine="560"/>
        <w:rPr>
          <w:sz w:val="28"/>
        </w:rPr>
      </w:pPr>
      <w:r>
        <w:rPr>
          <w:rFonts w:hint="eastAsia"/>
          <w:sz w:val="28"/>
        </w:rPr>
        <w:t>《非煤矿矿山企业安全生产许可证实施办法》国家安全生产监督管理总局令[2009]第20号，2015修订版</w:t>
      </w:r>
    </w:p>
    <w:p>
      <w:pPr>
        <w:pStyle w:val="125"/>
        <w:numPr>
          <w:ilvl w:val="0"/>
          <w:numId w:val="6"/>
        </w:numPr>
        <w:adjustRightInd w:val="0"/>
        <w:snapToGrid w:val="0"/>
        <w:spacing w:line="360" w:lineRule="auto"/>
        <w:ind w:left="0" w:firstLine="560"/>
        <w:rPr>
          <w:sz w:val="28"/>
        </w:rPr>
      </w:pPr>
      <w:r>
        <w:rPr>
          <w:rFonts w:hint="eastAsia"/>
          <w:sz w:val="28"/>
        </w:rPr>
        <w:t>《危险化学品重大危险源监督管理暂行规定》国家安全生产监督管理总局令[2011]第40号，2015修订版</w:t>
      </w:r>
    </w:p>
    <w:p>
      <w:pPr>
        <w:pStyle w:val="125"/>
        <w:numPr>
          <w:ilvl w:val="0"/>
          <w:numId w:val="6"/>
        </w:numPr>
        <w:adjustRightInd w:val="0"/>
        <w:snapToGrid w:val="0"/>
        <w:spacing w:line="360" w:lineRule="auto"/>
        <w:ind w:left="0" w:firstLine="560"/>
        <w:rPr>
          <w:sz w:val="28"/>
        </w:rPr>
      </w:pPr>
      <w:r>
        <w:rPr>
          <w:rFonts w:hint="eastAsia"/>
          <w:sz w:val="28"/>
        </w:rPr>
        <w:t>《</w:t>
      </w:r>
      <w:r>
        <w:rPr>
          <w:rFonts w:hint="eastAsia"/>
          <w:sz w:val="28"/>
          <w:lang w:val="en-US" w:eastAsia="zh-CN"/>
        </w:rPr>
        <w:t>生产安全事故罚款处罚规定（试行）</w:t>
      </w:r>
      <w:r>
        <w:rPr>
          <w:rFonts w:hint="eastAsia"/>
          <w:sz w:val="28"/>
        </w:rPr>
        <w:t>》国家安全生产监督管理总局令</w:t>
      </w:r>
      <w:r>
        <w:rPr>
          <w:rFonts w:hint="eastAsia"/>
          <w:sz w:val="28"/>
          <w:lang w:val="en-US" w:eastAsia="zh-CN"/>
        </w:rPr>
        <w:t>[2007]13号，经</w:t>
      </w:r>
      <w:r>
        <w:rPr>
          <w:rFonts w:hint="eastAsia"/>
          <w:sz w:val="28"/>
        </w:rPr>
        <w:t>第42号</w:t>
      </w:r>
      <w:r>
        <w:rPr>
          <w:rFonts w:hint="eastAsia"/>
          <w:sz w:val="28"/>
          <w:lang w:eastAsia="zh-CN"/>
        </w:rPr>
        <w:t>、</w:t>
      </w:r>
      <w:r>
        <w:rPr>
          <w:rFonts w:hint="eastAsia"/>
          <w:sz w:val="28"/>
          <w:lang w:val="en-US" w:eastAsia="zh-CN"/>
        </w:rPr>
        <w:t>77号修订</w:t>
      </w:r>
    </w:p>
    <w:p>
      <w:pPr>
        <w:pStyle w:val="125"/>
        <w:numPr>
          <w:ilvl w:val="0"/>
          <w:numId w:val="6"/>
        </w:numPr>
        <w:adjustRightInd w:val="0"/>
        <w:snapToGrid w:val="0"/>
        <w:spacing w:line="360" w:lineRule="auto"/>
        <w:ind w:left="0" w:firstLine="560"/>
        <w:rPr>
          <w:sz w:val="28"/>
        </w:rPr>
      </w:pPr>
      <w:r>
        <w:rPr>
          <w:rFonts w:hint="eastAsia"/>
          <w:sz w:val="28"/>
        </w:rPr>
        <w:t>《安全生产培训管理办法》国家安全生产监督管理总局令[2012]第44号，2015修订版</w:t>
      </w:r>
    </w:p>
    <w:p>
      <w:pPr>
        <w:pStyle w:val="125"/>
        <w:numPr>
          <w:ilvl w:val="0"/>
          <w:numId w:val="6"/>
        </w:numPr>
        <w:adjustRightInd w:val="0"/>
        <w:snapToGrid w:val="0"/>
        <w:spacing w:line="360" w:lineRule="auto"/>
        <w:ind w:left="0" w:firstLine="560"/>
        <w:rPr>
          <w:sz w:val="28"/>
        </w:rPr>
      </w:pPr>
      <w:r>
        <w:rPr>
          <w:rFonts w:hint="eastAsia"/>
          <w:sz w:val="28"/>
        </w:rPr>
        <w:t>《非煤矿山外包工程安全管理暂行办法》国家安全生产监督管理总局令[2013]第62号，2015修订版</w:t>
      </w:r>
    </w:p>
    <w:p>
      <w:pPr>
        <w:pStyle w:val="125"/>
        <w:numPr>
          <w:ilvl w:val="0"/>
          <w:numId w:val="6"/>
        </w:numPr>
        <w:adjustRightInd w:val="0"/>
        <w:snapToGrid w:val="0"/>
        <w:spacing w:line="360" w:lineRule="auto"/>
        <w:ind w:left="0" w:firstLine="560"/>
        <w:rPr>
          <w:color w:val="auto"/>
          <w:sz w:val="28"/>
        </w:rPr>
      </w:pPr>
      <w:r>
        <w:rPr>
          <w:rFonts w:hint="eastAsia"/>
          <w:color w:val="auto"/>
          <w:sz w:val="28"/>
        </w:rPr>
        <w:t>《生产安全事故应急预案管理办法》国家安全生产监督管理总局令[2016]第88号</w:t>
      </w:r>
      <w:r>
        <w:rPr>
          <w:rFonts w:hint="eastAsia"/>
          <w:color w:val="auto"/>
          <w:sz w:val="28"/>
          <w:lang w:eastAsia="zh-CN"/>
        </w:rPr>
        <w:t>，</w:t>
      </w:r>
      <w:r>
        <w:rPr>
          <w:rFonts w:hint="eastAsia"/>
          <w:color w:val="auto"/>
          <w:sz w:val="28"/>
          <w:lang w:val="en-US" w:eastAsia="zh-CN"/>
        </w:rPr>
        <w:t>经应急管理部第2号令修订</w:t>
      </w:r>
    </w:p>
    <w:p>
      <w:pPr>
        <w:pStyle w:val="125"/>
        <w:numPr>
          <w:ilvl w:val="0"/>
          <w:numId w:val="6"/>
        </w:numPr>
        <w:adjustRightInd w:val="0"/>
        <w:snapToGrid w:val="0"/>
        <w:spacing w:line="360" w:lineRule="auto"/>
        <w:ind w:left="0" w:firstLine="560"/>
        <w:rPr>
          <w:sz w:val="28"/>
        </w:rPr>
      </w:pPr>
      <w:r>
        <w:rPr>
          <w:rFonts w:hint="eastAsia" w:ascii="Times New Roman" w:hAnsi="Times New Roman" w:eastAsia="宋体" w:cs="Times New Roman"/>
          <w:sz w:val="28"/>
          <w:szCs w:val="28"/>
          <w:lang w:val="en-US" w:eastAsia="zh-CN"/>
        </w:rPr>
        <w:t>《应急管理部办公厅关于石油天然气企业安全生产许可的复函》应急厅[2021]244号</w:t>
      </w:r>
    </w:p>
    <w:p>
      <w:pPr>
        <w:pStyle w:val="125"/>
        <w:numPr>
          <w:ilvl w:val="0"/>
          <w:numId w:val="6"/>
        </w:numPr>
        <w:adjustRightInd w:val="0"/>
        <w:snapToGrid w:val="0"/>
        <w:spacing w:line="360" w:lineRule="auto"/>
        <w:ind w:left="0" w:firstLine="560"/>
        <w:rPr>
          <w:b w:val="0"/>
          <w:bCs w:val="0"/>
          <w:sz w:val="28"/>
          <w:u w:val="none"/>
        </w:rPr>
      </w:pPr>
      <w:r>
        <w:rPr>
          <w:rFonts w:hint="eastAsia"/>
          <w:b w:val="0"/>
          <w:bCs w:val="0"/>
          <w:sz w:val="28"/>
          <w:u w:val="none"/>
          <w:lang w:eastAsia="zh-CN"/>
        </w:rPr>
        <w:t>《</w:t>
      </w:r>
      <w:r>
        <w:rPr>
          <w:rFonts w:hint="eastAsia"/>
          <w:b w:val="0"/>
          <w:bCs w:val="0"/>
          <w:sz w:val="28"/>
          <w:u w:val="none"/>
          <w:lang w:val="en-US" w:eastAsia="zh-CN"/>
        </w:rPr>
        <w:t>企业安全生产标准化建设定级办法</w:t>
      </w:r>
      <w:r>
        <w:rPr>
          <w:rFonts w:hint="eastAsia"/>
          <w:b w:val="0"/>
          <w:bCs w:val="0"/>
          <w:sz w:val="28"/>
          <w:u w:val="none"/>
          <w:lang w:eastAsia="zh-CN"/>
        </w:rPr>
        <w:t>》</w:t>
      </w:r>
      <w:r>
        <w:rPr>
          <w:rFonts w:hint="eastAsia"/>
          <w:b w:val="0"/>
          <w:bCs w:val="0"/>
          <w:sz w:val="28"/>
          <w:u w:val="none"/>
          <w:lang w:val="en-US" w:eastAsia="zh-CN"/>
        </w:rPr>
        <w:t>应急[2021]83号</w:t>
      </w:r>
    </w:p>
    <w:p>
      <w:pPr>
        <w:pStyle w:val="125"/>
        <w:numPr>
          <w:ilvl w:val="0"/>
          <w:numId w:val="6"/>
        </w:numPr>
        <w:adjustRightInd w:val="0"/>
        <w:snapToGrid w:val="0"/>
        <w:spacing w:line="360" w:lineRule="auto"/>
        <w:ind w:left="0" w:firstLine="560"/>
        <w:rPr>
          <w:b w:val="0"/>
          <w:bCs w:val="0"/>
          <w:sz w:val="28"/>
          <w:u w:val="none"/>
        </w:rPr>
      </w:pPr>
      <w:r>
        <w:rPr>
          <w:rFonts w:hint="eastAsia" w:ascii="Times New Roman" w:hAnsi="Times New Roman" w:eastAsia="宋体" w:cs="Times New Roman"/>
          <w:b w:val="0"/>
          <w:bCs w:val="0"/>
          <w:sz w:val="28"/>
          <w:szCs w:val="28"/>
          <w:u w:val="none"/>
          <w:lang w:val="en-US" w:eastAsia="zh-CN"/>
        </w:rPr>
        <w:t>《安全生产责任保险实施办法》安监总办[2017]140号</w:t>
      </w:r>
    </w:p>
    <w:p>
      <w:pPr>
        <w:pStyle w:val="125"/>
        <w:numPr>
          <w:ilvl w:val="0"/>
          <w:numId w:val="6"/>
        </w:numPr>
        <w:adjustRightInd w:val="0"/>
        <w:snapToGrid w:val="0"/>
        <w:spacing w:line="360" w:lineRule="auto"/>
        <w:ind w:left="0" w:firstLine="560"/>
        <w:rPr>
          <w:sz w:val="28"/>
        </w:rPr>
      </w:pPr>
      <w:r>
        <w:rPr>
          <w:rFonts w:ascii="Times New Roman" w:hAnsi="Times New Roman" w:eastAsia="宋体" w:cs="Times New Roman"/>
          <w:bCs/>
          <w:smallCaps w:val="0"/>
          <w:sz w:val="28"/>
          <w:szCs w:val="28"/>
        </w:rPr>
        <w:t>《防雷减灾管理办法》中国气象局令[2013]第24号</w:t>
      </w:r>
    </w:p>
    <w:p>
      <w:pPr>
        <w:pStyle w:val="125"/>
        <w:numPr>
          <w:ilvl w:val="0"/>
          <w:numId w:val="6"/>
        </w:numPr>
        <w:adjustRightInd w:val="0"/>
        <w:snapToGrid w:val="0"/>
        <w:spacing w:line="360" w:lineRule="auto"/>
        <w:ind w:left="0" w:firstLine="560"/>
        <w:rPr>
          <w:sz w:val="28"/>
        </w:rPr>
      </w:pPr>
      <w:r>
        <w:rPr>
          <w:rFonts w:hint="eastAsia"/>
          <w:sz w:val="28"/>
        </w:rPr>
        <w:t>《危险化学品目录（2015版）》安全监管总局、工业和信息化部、公安部、环境保护部、交通运输部、农业部、国家卫生计生委、质检总局、铁路局、民航局公告[2015]第5号</w:t>
      </w:r>
    </w:p>
    <w:p>
      <w:pPr>
        <w:pStyle w:val="125"/>
        <w:numPr>
          <w:ilvl w:val="0"/>
          <w:numId w:val="6"/>
        </w:numPr>
        <w:adjustRightInd w:val="0"/>
        <w:snapToGrid w:val="0"/>
        <w:spacing w:line="360" w:lineRule="auto"/>
        <w:ind w:left="0" w:firstLine="560"/>
        <w:rPr>
          <w:sz w:val="28"/>
        </w:rPr>
      </w:pPr>
      <w:r>
        <w:rPr>
          <w:rFonts w:hint="eastAsia"/>
          <w:sz w:val="28"/>
        </w:rPr>
        <w:t>《企业安全生产费用提取和使用管理办法》财企[2012]16号</w:t>
      </w:r>
    </w:p>
    <w:p>
      <w:pPr>
        <w:pStyle w:val="125"/>
        <w:numPr>
          <w:ilvl w:val="0"/>
          <w:numId w:val="6"/>
        </w:numPr>
        <w:adjustRightInd w:val="0"/>
        <w:snapToGrid w:val="0"/>
        <w:spacing w:line="360" w:lineRule="auto"/>
        <w:ind w:left="0" w:firstLine="560"/>
        <w:rPr>
          <w:sz w:val="28"/>
          <w:szCs w:val="28"/>
        </w:rPr>
      </w:pPr>
      <w:r>
        <w:rPr>
          <w:rFonts w:hint="eastAsia"/>
          <w:sz w:val="28"/>
          <w:szCs w:val="28"/>
        </w:rPr>
        <w:t>《职业病危害因素分类目录》国卫疾控发[2015]92号</w:t>
      </w:r>
    </w:p>
    <w:p>
      <w:pPr>
        <w:pStyle w:val="125"/>
        <w:numPr>
          <w:ilvl w:val="0"/>
          <w:numId w:val="6"/>
        </w:numPr>
        <w:adjustRightInd w:val="0"/>
        <w:snapToGrid w:val="0"/>
        <w:spacing w:line="360" w:lineRule="auto"/>
        <w:ind w:left="0" w:firstLine="560"/>
        <w:rPr>
          <w:rFonts w:hint="eastAsia"/>
          <w:sz w:val="28"/>
          <w:szCs w:val="28"/>
        </w:rPr>
      </w:pPr>
      <w:r>
        <w:rPr>
          <w:rFonts w:hint="eastAsia"/>
          <w:sz w:val="28"/>
          <w:szCs w:val="28"/>
          <w:lang w:val="en-US" w:eastAsia="zh-CN"/>
        </w:rPr>
        <w:t>《国家安全监管总局办公厅关于印发危险化学品目录（</w:t>
      </w:r>
      <w:r>
        <w:rPr>
          <w:rFonts w:hint="default"/>
          <w:sz w:val="28"/>
          <w:szCs w:val="28"/>
          <w:lang w:val="en-US" w:eastAsia="zh-CN"/>
        </w:rPr>
        <w:t>2015</w:t>
      </w:r>
      <w:r>
        <w:rPr>
          <w:rFonts w:hint="eastAsia"/>
          <w:sz w:val="28"/>
          <w:szCs w:val="28"/>
          <w:lang w:val="en-US" w:eastAsia="zh-CN"/>
        </w:rPr>
        <w:t>版）实施指南（试行）的通知》</w:t>
      </w:r>
    </w:p>
    <w:p>
      <w:pPr>
        <w:pStyle w:val="125"/>
        <w:numPr>
          <w:ilvl w:val="0"/>
          <w:numId w:val="6"/>
        </w:numPr>
        <w:adjustRightInd w:val="0"/>
        <w:snapToGrid w:val="0"/>
        <w:spacing w:line="360" w:lineRule="auto"/>
        <w:ind w:left="0" w:firstLine="560"/>
        <w:rPr>
          <w:rFonts w:hint="eastAsia"/>
          <w:sz w:val="28"/>
          <w:szCs w:val="28"/>
        </w:rPr>
      </w:pPr>
      <w:r>
        <w:rPr>
          <w:rFonts w:hint="eastAsia"/>
          <w:sz w:val="28"/>
          <w:szCs w:val="28"/>
          <w:lang w:val="en-US" w:eastAsia="zh-CN"/>
        </w:rPr>
        <w:t>《高毒物品目录》卫法监发</w:t>
      </w:r>
      <w:r>
        <w:rPr>
          <w:rFonts w:hint="default"/>
          <w:sz w:val="28"/>
          <w:szCs w:val="28"/>
          <w:lang w:val="en-US" w:eastAsia="zh-CN"/>
        </w:rPr>
        <w:t>[2003]142</w:t>
      </w:r>
      <w:r>
        <w:rPr>
          <w:rFonts w:hint="eastAsia"/>
          <w:sz w:val="28"/>
          <w:szCs w:val="28"/>
          <w:lang w:val="en-US" w:eastAsia="zh-CN"/>
        </w:rPr>
        <w:t>号</w:t>
      </w:r>
    </w:p>
    <w:p>
      <w:pPr>
        <w:pStyle w:val="125"/>
        <w:numPr>
          <w:ilvl w:val="0"/>
          <w:numId w:val="6"/>
        </w:numPr>
        <w:adjustRightInd w:val="0"/>
        <w:snapToGrid w:val="0"/>
        <w:spacing w:line="360" w:lineRule="auto"/>
        <w:ind w:left="0" w:firstLine="560"/>
        <w:rPr>
          <w:rFonts w:hint="eastAsia"/>
          <w:sz w:val="28"/>
          <w:szCs w:val="28"/>
        </w:rPr>
      </w:pPr>
      <w:r>
        <w:rPr>
          <w:rFonts w:hint="eastAsia"/>
          <w:sz w:val="28"/>
          <w:szCs w:val="28"/>
          <w:lang w:val="en-US" w:eastAsia="zh-CN"/>
        </w:rPr>
        <w:t>《易制毒化学品管理条例》国务院令第</w:t>
      </w:r>
      <w:r>
        <w:rPr>
          <w:rFonts w:hint="default"/>
          <w:sz w:val="28"/>
          <w:szCs w:val="28"/>
          <w:lang w:val="en-US" w:eastAsia="zh-CN"/>
        </w:rPr>
        <w:t>445</w:t>
      </w:r>
      <w:r>
        <w:rPr>
          <w:rFonts w:hint="eastAsia"/>
          <w:sz w:val="28"/>
          <w:szCs w:val="28"/>
          <w:lang w:val="en-US" w:eastAsia="zh-CN"/>
        </w:rPr>
        <w:t>号，国务院令第</w:t>
      </w:r>
      <w:r>
        <w:rPr>
          <w:rFonts w:hint="default"/>
          <w:sz w:val="28"/>
          <w:szCs w:val="28"/>
          <w:lang w:val="en-US" w:eastAsia="zh-CN"/>
        </w:rPr>
        <w:t>653</w:t>
      </w:r>
      <w:r>
        <w:rPr>
          <w:rFonts w:hint="eastAsia"/>
          <w:sz w:val="28"/>
          <w:szCs w:val="28"/>
          <w:lang w:val="en-US" w:eastAsia="zh-CN"/>
        </w:rPr>
        <w:t>号、第</w:t>
      </w:r>
      <w:r>
        <w:rPr>
          <w:rFonts w:hint="default"/>
          <w:sz w:val="28"/>
          <w:szCs w:val="28"/>
          <w:lang w:val="en-US" w:eastAsia="zh-CN"/>
        </w:rPr>
        <w:t>666</w:t>
      </w:r>
      <w:r>
        <w:rPr>
          <w:rFonts w:hint="eastAsia"/>
          <w:sz w:val="28"/>
          <w:szCs w:val="28"/>
          <w:lang w:val="en-US" w:eastAsia="zh-CN"/>
        </w:rPr>
        <w:t>号、第7</w:t>
      </w:r>
      <w:r>
        <w:rPr>
          <w:rFonts w:hint="default"/>
          <w:sz w:val="28"/>
          <w:szCs w:val="28"/>
          <w:lang w:val="en-US" w:eastAsia="zh-CN"/>
        </w:rPr>
        <w:t>03</w:t>
      </w:r>
      <w:r>
        <w:rPr>
          <w:rFonts w:hint="eastAsia"/>
          <w:sz w:val="28"/>
          <w:szCs w:val="28"/>
          <w:lang w:val="en-US" w:eastAsia="zh-CN"/>
        </w:rPr>
        <w:t>号修订，2008年公安部等六部门公告、2012年公安部等五部门公告、国办函[2017]120号、国办函[2021]58号增补</w:t>
      </w:r>
    </w:p>
    <w:p>
      <w:pPr>
        <w:pStyle w:val="125"/>
        <w:numPr>
          <w:ilvl w:val="0"/>
          <w:numId w:val="6"/>
        </w:numPr>
        <w:adjustRightInd w:val="0"/>
        <w:snapToGrid w:val="0"/>
        <w:spacing w:line="360" w:lineRule="auto"/>
        <w:ind w:left="0" w:firstLine="560"/>
        <w:rPr>
          <w:rFonts w:hint="eastAsia"/>
          <w:sz w:val="28"/>
          <w:szCs w:val="28"/>
        </w:rPr>
      </w:pPr>
      <w:r>
        <w:rPr>
          <w:rFonts w:hint="eastAsia"/>
          <w:sz w:val="28"/>
          <w:szCs w:val="28"/>
          <w:lang w:val="en-US" w:eastAsia="zh-CN"/>
        </w:rPr>
        <w:t>《易制爆危险化学品名录》（</w:t>
      </w:r>
      <w:r>
        <w:rPr>
          <w:rFonts w:hint="default"/>
          <w:sz w:val="28"/>
          <w:szCs w:val="28"/>
          <w:lang w:val="en-US" w:eastAsia="zh-CN"/>
        </w:rPr>
        <w:t>2017</w:t>
      </w:r>
      <w:r>
        <w:rPr>
          <w:rFonts w:hint="eastAsia"/>
          <w:sz w:val="28"/>
          <w:szCs w:val="28"/>
          <w:lang w:val="en-US" w:eastAsia="zh-CN"/>
        </w:rPr>
        <w:t>年版）</w:t>
      </w:r>
    </w:p>
    <w:p>
      <w:pPr>
        <w:pStyle w:val="125"/>
        <w:numPr>
          <w:ilvl w:val="0"/>
          <w:numId w:val="6"/>
        </w:numPr>
        <w:adjustRightInd w:val="0"/>
        <w:snapToGrid w:val="0"/>
        <w:spacing w:line="360" w:lineRule="auto"/>
        <w:ind w:left="0" w:firstLine="560"/>
        <w:rPr>
          <w:rFonts w:hint="eastAsia"/>
          <w:sz w:val="28"/>
          <w:szCs w:val="28"/>
        </w:rPr>
      </w:pPr>
      <w:r>
        <w:rPr>
          <w:rFonts w:hint="eastAsia"/>
          <w:sz w:val="28"/>
          <w:szCs w:val="28"/>
          <w:lang w:val="en-US" w:eastAsia="zh-CN"/>
        </w:rPr>
        <w:t>《关于加强易爆炸重点危险化学品安全生产管理工作的通知》鲁安监发</w:t>
      </w:r>
      <w:r>
        <w:rPr>
          <w:rFonts w:hint="default"/>
          <w:sz w:val="28"/>
          <w:szCs w:val="28"/>
          <w:lang w:val="en-US" w:eastAsia="zh-CN"/>
        </w:rPr>
        <w:t>[2010]62</w:t>
      </w:r>
      <w:r>
        <w:rPr>
          <w:rFonts w:hint="eastAsia"/>
          <w:sz w:val="28"/>
          <w:szCs w:val="28"/>
          <w:lang w:val="en-US" w:eastAsia="zh-CN"/>
        </w:rPr>
        <w:t>号</w:t>
      </w:r>
    </w:p>
    <w:p>
      <w:pPr>
        <w:pStyle w:val="125"/>
        <w:numPr>
          <w:ilvl w:val="0"/>
          <w:numId w:val="6"/>
        </w:numPr>
        <w:adjustRightInd w:val="0"/>
        <w:snapToGrid w:val="0"/>
        <w:spacing w:line="360" w:lineRule="auto"/>
        <w:ind w:left="0" w:firstLine="560"/>
        <w:rPr>
          <w:rFonts w:hint="eastAsia"/>
          <w:sz w:val="28"/>
          <w:szCs w:val="28"/>
        </w:rPr>
      </w:pPr>
      <w:r>
        <w:rPr>
          <w:rFonts w:hint="eastAsia"/>
          <w:sz w:val="28"/>
          <w:szCs w:val="28"/>
          <w:lang w:val="en-US" w:eastAsia="zh-CN"/>
        </w:rPr>
        <w:t>《重点监管的危险化学品名录》（</w:t>
      </w:r>
      <w:r>
        <w:rPr>
          <w:rFonts w:hint="default"/>
          <w:sz w:val="28"/>
          <w:szCs w:val="28"/>
          <w:lang w:val="en-US" w:eastAsia="zh-CN"/>
        </w:rPr>
        <w:t>2013</w:t>
      </w:r>
      <w:r>
        <w:rPr>
          <w:rFonts w:hint="eastAsia"/>
          <w:sz w:val="28"/>
          <w:szCs w:val="28"/>
          <w:lang w:val="en-US" w:eastAsia="zh-CN"/>
        </w:rPr>
        <w:t>完整版）</w:t>
      </w:r>
      <w:r>
        <w:rPr>
          <w:rFonts w:hint="default"/>
          <w:sz w:val="28"/>
          <w:szCs w:val="28"/>
          <w:lang w:val="en-US" w:eastAsia="zh-CN"/>
        </w:rPr>
        <w:t xml:space="preserve"> </w:t>
      </w:r>
    </w:p>
    <w:p>
      <w:pPr>
        <w:pStyle w:val="125"/>
        <w:numPr>
          <w:ilvl w:val="0"/>
          <w:numId w:val="6"/>
        </w:numPr>
        <w:adjustRightInd w:val="0"/>
        <w:snapToGrid w:val="0"/>
        <w:spacing w:line="360" w:lineRule="auto"/>
        <w:ind w:left="0" w:firstLine="560"/>
        <w:rPr>
          <w:rFonts w:hint="eastAsia"/>
          <w:sz w:val="28"/>
          <w:szCs w:val="28"/>
        </w:rPr>
      </w:pPr>
      <w:r>
        <w:rPr>
          <w:rFonts w:hint="eastAsia"/>
          <w:sz w:val="28"/>
          <w:szCs w:val="28"/>
          <w:lang w:val="en-US" w:eastAsia="zh-CN"/>
        </w:rPr>
        <w:t>《各类监控化学品名录》工业和信息化部令第</w:t>
      </w:r>
      <w:r>
        <w:rPr>
          <w:rFonts w:hint="default"/>
          <w:sz w:val="28"/>
          <w:szCs w:val="28"/>
          <w:lang w:val="en-US" w:eastAsia="zh-CN"/>
        </w:rPr>
        <w:t>52</w:t>
      </w:r>
      <w:r>
        <w:rPr>
          <w:rFonts w:hint="eastAsia"/>
          <w:sz w:val="28"/>
          <w:szCs w:val="28"/>
          <w:lang w:val="en-US" w:eastAsia="zh-CN"/>
        </w:rPr>
        <w:t>号</w:t>
      </w:r>
    </w:p>
    <w:p>
      <w:pPr>
        <w:pStyle w:val="125"/>
        <w:numPr>
          <w:ilvl w:val="0"/>
          <w:numId w:val="6"/>
        </w:numPr>
        <w:adjustRightInd w:val="0"/>
        <w:snapToGrid w:val="0"/>
        <w:spacing w:line="360" w:lineRule="auto"/>
        <w:ind w:left="0" w:firstLine="560"/>
        <w:rPr>
          <w:rFonts w:hint="eastAsia"/>
          <w:sz w:val="28"/>
          <w:szCs w:val="28"/>
        </w:rPr>
      </w:pPr>
      <w:r>
        <w:rPr>
          <w:rFonts w:hint="eastAsia"/>
          <w:sz w:val="28"/>
          <w:szCs w:val="28"/>
          <w:lang w:val="en-US" w:eastAsia="zh-CN"/>
        </w:rPr>
        <w:t>《特别管控危险化学品目录（第一版）》应急管理部、工业和信息化部、公安部、交通运输部公告</w:t>
      </w:r>
      <w:r>
        <w:rPr>
          <w:rFonts w:hint="default"/>
          <w:sz w:val="28"/>
          <w:szCs w:val="28"/>
          <w:lang w:val="en-US" w:eastAsia="zh-CN"/>
        </w:rPr>
        <w:t>2020</w:t>
      </w:r>
      <w:r>
        <w:rPr>
          <w:rFonts w:hint="eastAsia"/>
          <w:sz w:val="28"/>
          <w:szCs w:val="28"/>
          <w:lang w:val="en-US" w:eastAsia="zh-CN"/>
        </w:rPr>
        <w:t>年第</w:t>
      </w:r>
      <w:r>
        <w:rPr>
          <w:rFonts w:hint="default"/>
          <w:sz w:val="28"/>
          <w:szCs w:val="28"/>
          <w:lang w:val="en-US" w:eastAsia="zh-CN"/>
        </w:rPr>
        <w:t>3</w:t>
      </w:r>
      <w:r>
        <w:rPr>
          <w:rFonts w:hint="eastAsia"/>
          <w:sz w:val="28"/>
          <w:szCs w:val="28"/>
          <w:lang w:val="en-US" w:eastAsia="zh-CN"/>
        </w:rPr>
        <w:t>号</w:t>
      </w:r>
    </w:p>
    <w:p>
      <w:pPr>
        <w:pStyle w:val="125"/>
        <w:numPr>
          <w:ilvl w:val="0"/>
          <w:numId w:val="6"/>
        </w:numPr>
        <w:adjustRightInd w:val="0"/>
        <w:snapToGrid w:val="0"/>
        <w:spacing w:line="360" w:lineRule="auto"/>
        <w:ind w:left="0" w:firstLine="560"/>
        <w:rPr>
          <w:rFonts w:hint="eastAsia"/>
          <w:sz w:val="28"/>
          <w:szCs w:val="28"/>
        </w:rPr>
      </w:pPr>
      <w:r>
        <w:rPr>
          <w:rFonts w:hint="default"/>
          <w:color w:val="auto"/>
          <w:sz w:val="28"/>
        </w:rPr>
        <w:t>《注册安全工程师分类管理办法》（安监总人事[2017]118号）</w:t>
      </w:r>
    </w:p>
    <w:p>
      <w:pPr>
        <w:pStyle w:val="125"/>
        <w:numPr>
          <w:ilvl w:val="0"/>
          <w:numId w:val="6"/>
        </w:numPr>
        <w:adjustRightInd w:val="0"/>
        <w:snapToGrid w:val="0"/>
        <w:spacing w:line="360" w:lineRule="auto"/>
        <w:ind w:left="0" w:firstLine="560"/>
        <w:rPr>
          <w:rFonts w:hint="eastAsia"/>
          <w:sz w:val="28"/>
          <w:szCs w:val="28"/>
        </w:rPr>
      </w:pPr>
      <w:r>
        <w:rPr>
          <w:rFonts w:hint="default"/>
          <w:color w:val="auto"/>
          <w:sz w:val="28"/>
        </w:rPr>
        <w:t>《注册安全工程师职业</w:t>
      </w:r>
      <w:r>
        <w:rPr>
          <w:rFonts w:hint="eastAsia"/>
          <w:color w:val="auto"/>
          <w:sz w:val="28"/>
          <w:lang w:eastAsia="zh-CN"/>
        </w:rPr>
        <w:t>合格</w:t>
      </w:r>
      <w:r>
        <w:rPr>
          <w:rFonts w:hint="default"/>
          <w:color w:val="auto"/>
          <w:sz w:val="28"/>
        </w:rPr>
        <w:t>制度规定》（应急[2019]8号）</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1</w:t>
      </w:r>
      <w:r>
        <w:rPr>
          <w:rFonts w:eastAsia="黑体"/>
          <w:b w:val="0"/>
          <w:snapToGrid w:val="0"/>
          <w:kern w:val="0"/>
          <w:sz w:val="28"/>
          <w:szCs w:val="28"/>
        </w:rPr>
        <w:t>.2</w:t>
      </w:r>
      <w:r>
        <w:rPr>
          <w:rFonts w:hint="eastAsia" w:eastAsia="黑体"/>
          <w:b w:val="0"/>
          <w:snapToGrid w:val="0"/>
          <w:kern w:val="0"/>
          <w:sz w:val="28"/>
          <w:szCs w:val="28"/>
        </w:rPr>
        <w:t>.5 地方政府规章</w:t>
      </w:r>
    </w:p>
    <w:p>
      <w:pPr>
        <w:pStyle w:val="125"/>
        <w:numPr>
          <w:ilvl w:val="0"/>
          <w:numId w:val="7"/>
        </w:numPr>
        <w:adjustRightInd w:val="0"/>
        <w:snapToGrid w:val="0"/>
        <w:spacing w:line="360" w:lineRule="auto"/>
        <w:ind w:left="0" w:firstLine="560"/>
        <w:rPr>
          <w:rFonts w:hint="eastAsia"/>
          <w:sz w:val="28"/>
        </w:rPr>
      </w:pPr>
      <w:r>
        <w:rPr>
          <w:rFonts w:hint="eastAsia"/>
          <w:sz w:val="28"/>
        </w:rPr>
        <w:t>《山东省生产经营单位安全生产主体责任规定》山东省人民政府令</w:t>
      </w:r>
      <w:r>
        <w:rPr>
          <w:rFonts w:hint="eastAsia"/>
          <w:sz w:val="28"/>
          <w:lang w:val="en-US" w:eastAsia="zh-CN"/>
        </w:rPr>
        <w:t>第260号，经第303号、</w:t>
      </w:r>
      <w:r>
        <w:rPr>
          <w:rFonts w:hint="eastAsia"/>
          <w:sz w:val="28"/>
        </w:rPr>
        <w:t>第311号修订</w:t>
      </w:r>
    </w:p>
    <w:p>
      <w:pPr>
        <w:pStyle w:val="125"/>
        <w:numPr>
          <w:ilvl w:val="0"/>
          <w:numId w:val="7"/>
        </w:numPr>
        <w:adjustRightInd w:val="0"/>
        <w:snapToGrid w:val="0"/>
        <w:spacing w:line="360" w:lineRule="auto"/>
        <w:ind w:left="0" w:firstLine="560"/>
        <w:rPr>
          <w:rFonts w:hint="eastAsia"/>
          <w:sz w:val="28"/>
        </w:rPr>
      </w:pPr>
      <w:r>
        <w:rPr>
          <w:rFonts w:hint="eastAsia"/>
          <w:sz w:val="28"/>
        </w:rPr>
        <w:t>《</w:t>
      </w:r>
      <w:r>
        <w:rPr>
          <w:rFonts w:hint="eastAsia"/>
          <w:sz w:val="28"/>
          <w:lang w:val="en-US" w:eastAsia="zh-CN"/>
        </w:rPr>
        <w:t>山东省安全生产风险管控办法</w:t>
      </w:r>
      <w:r>
        <w:rPr>
          <w:rFonts w:hint="eastAsia"/>
          <w:sz w:val="28"/>
        </w:rPr>
        <w:t>》</w:t>
      </w:r>
      <w:r>
        <w:rPr>
          <w:rFonts w:hint="eastAsia"/>
          <w:sz w:val="28"/>
          <w:lang w:val="en-US" w:eastAsia="zh-CN"/>
        </w:rPr>
        <w:t>山东省人民政府令第331号</w:t>
      </w:r>
    </w:p>
    <w:p>
      <w:pPr>
        <w:pStyle w:val="125"/>
        <w:numPr>
          <w:ilvl w:val="0"/>
          <w:numId w:val="7"/>
        </w:numPr>
        <w:adjustRightInd w:val="0"/>
        <w:snapToGrid w:val="0"/>
        <w:spacing w:line="360" w:lineRule="auto"/>
        <w:ind w:left="0" w:firstLine="560"/>
        <w:rPr>
          <w:rFonts w:hint="eastAsia"/>
          <w:sz w:val="28"/>
        </w:rPr>
      </w:pPr>
      <w:r>
        <w:rPr>
          <w:rFonts w:hint="eastAsia"/>
          <w:sz w:val="28"/>
        </w:rPr>
        <w:t>《山东省生产安全事故应急办法》山东省人民政府令第3</w:t>
      </w:r>
      <w:r>
        <w:rPr>
          <w:rFonts w:hint="eastAsia"/>
          <w:sz w:val="28"/>
          <w:lang w:val="en-US" w:eastAsia="zh-CN"/>
        </w:rPr>
        <w:t>4</w:t>
      </w:r>
      <w:r>
        <w:rPr>
          <w:rFonts w:hint="eastAsia"/>
          <w:sz w:val="28"/>
        </w:rPr>
        <w:t>1号</w:t>
      </w:r>
    </w:p>
    <w:p>
      <w:pPr>
        <w:pStyle w:val="125"/>
        <w:numPr>
          <w:ilvl w:val="0"/>
          <w:numId w:val="7"/>
        </w:numPr>
        <w:adjustRightInd w:val="0"/>
        <w:snapToGrid w:val="0"/>
        <w:spacing w:line="360" w:lineRule="auto"/>
        <w:ind w:left="0" w:firstLine="560"/>
        <w:rPr>
          <w:rFonts w:hint="eastAsia"/>
          <w:sz w:val="28"/>
        </w:rPr>
      </w:pPr>
      <w:r>
        <w:rPr>
          <w:rFonts w:hint="eastAsia"/>
          <w:sz w:val="28"/>
          <w:lang w:val="en-US" w:eastAsia="zh-CN"/>
        </w:rPr>
        <w:t>《山东省生产安全事故报告和调查处理办法》山东省人民政府令第342号</w:t>
      </w:r>
    </w:p>
    <w:p>
      <w:pPr>
        <w:pStyle w:val="125"/>
        <w:numPr>
          <w:ilvl w:val="0"/>
          <w:numId w:val="7"/>
        </w:numPr>
        <w:adjustRightInd w:val="0"/>
        <w:snapToGrid w:val="0"/>
        <w:spacing w:line="360" w:lineRule="auto"/>
        <w:ind w:left="0" w:firstLine="560"/>
        <w:rPr>
          <w:rFonts w:hint="eastAsia"/>
          <w:sz w:val="28"/>
          <w:lang w:val="en-US" w:eastAsia="zh-CN"/>
        </w:rPr>
      </w:pPr>
      <w:r>
        <w:rPr>
          <w:rFonts w:hint="eastAsia"/>
          <w:sz w:val="28"/>
        </w:rPr>
        <w:t>《山东省生产安全事故隐患排查治理办法》山东省人民政府令第3</w:t>
      </w:r>
      <w:r>
        <w:rPr>
          <w:rFonts w:hint="eastAsia"/>
          <w:sz w:val="28"/>
          <w:lang w:val="en-US" w:eastAsia="zh-CN"/>
        </w:rPr>
        <w:t>47</w:t>
      </w:r>
      <w:r>
        <w:rPr>
          <w:rFonts w:hint="eastAsia"/>
          <w:sz w:val="28"/>
        </w:rPr>
        <w:t>号</w:t>
      </w:r>
    </w:p>
    <w:p>
      <w:pPr>
        <w:pStyle w:val="125"/>
        <w:numPr>
          <w:ilvl w:val="0"/>
          <w:numId w:val="7"/>
        </w:numPr>
        <w:adjustRightInd w:val="0"/>
        <w:snapToGrid w:val="0"/>
        <w:spacing w:line="360" w:lineRule="auto"/>
        <w:ind w:left="0" w:firstLine="560"/>
        <w:rPr>
          <w:rFonts w:hint="eastAsia"/>
          <w:sz w:val="28"/>
        </w:rPr>
      </w:pPr>
      <w:r>
        <w:rPr>
          <w:rFonts w:hint="eastAsia"/>
          <w:sz w:val="28"/>
          <w:lang w:val="en-US" w:eastAsia="zh-CN"/>
        </w:rPr>
        <w:t>《山东省人民政府办公厅关于印发山东省生产经营单位安全总监制度实施办法（试行）的通知》鲁政办字[2021]60号</w:t>
      </w:r>
    </w:p>
    <w:p>
      <w:pPr>
        <w:pStyle w:val="125"/>
        <w:numPr>
          <w:ilvl w:val="0"/>
          <w:numId w:val="7"/>
        </w:numPr>
        <w:adjustRightInd w:val="0"/>
        <w:snapToGrid w:val="0"/>
        <w:spacing w:line="360" w:lineRule="auto"/>
        <w:ind w:left="0" w:firstLine="560"/>
        <w:rPr>
          <w:rFonts w:hint="eastAsia"/>
          <w:sz w:val="28"/>
        </w:rPr>
      </w:pPr>
      <w:r>
        <w:rPr>
          <w:rFonts w:hint="eastAsia"/>
          <w:sz w:val="28"/>
          <w:lang w:eastAsia="zh-CN"/>
        </w:rPr>
        <w:t>《</w:t>
      </w:r>
      <w:r>
        <w:rPr>
          <w:rFonts w:hint="eastAsia"/>
          <w:sz w:val="28"/>
          <w:lang w:val="en-US" w:eastAsia="zh-CN"/>
        </w:rPr>
        <w:t>山东省企业安全生产“晨会”制度规范（试行）》鲁安发[2022]4号</w:t>
      </w:r>
    </w:p>
    <w:p>
      <w:pPr>
        <w:pStyle w:val="125"/>
        <w:numPr>
          <w:ilvl w:val="0"/>
          <w:numId w:val="7"/>
        </w:numPr>
        <w:adjustRightInd w:val="0"/>
        <w:snapToGrid w:val="0"/>
        <w:spacing w:line="360" w:lineRule="auto"/>
        <w:ind w:left="0" w:firstLine="560"/>
        <w:rPr>
          <w:rFonts w:hint="eastAsia"/>
          <w:sz w:val="28"/>
        </w:rPr>
      </w:pPr>
      <w:r>
        <w:rPr>
          <w:rFonts w:hint="eastAsia"/>
          <w:sz w:val="28"/>
          <w:lang w:eastAsia="zh-CN"/>
        </w:rPr>
        <w:t>《</w:t>
      </w:r>
      <w:r>
        <w:rPr>
          <w:rFonts w:hint="eastAsia"/>
          <w:sz w:val="28"/>
          <w:lang w:val="en-US" w:eastAsia="zh-CN"/>
        </w:rPr>
        <w:t>山东省人民政府安全生产委员会关于规范和加强安全生产培训考核工作的指导意见》鲁安发[2022]6号</w:t>
      </w:r>
    </w:p>
    <w:p>
      <w:pPr>
        <w:pStyle w:val="125"/>
        <w:numPr>
          <w:ilvl w:val="0"/>
          <w:numId w:val="7"/>
        </w:numPr>
        <w:adjustRightInd w:val="0"/>
        <w:snapToGrid w:val="0"/>
        <w:spacing w:line="360" w:lineRule="auto"/>
        <w:ind w:left="0" w:firstLine="560"/>
        <w:rPr>
          <w:rFonts w:hint="eastAsia"/>
          <w:sz w:val="28"/>
        </w:rPr>
      </w:pPr>
      <w:r>
        <w:rPr>
          <w:rFonts w:hint="eastAsia"/>
          <w:sz w:val="28"/>
          <w:lang w:val="en-US" w:eastAsia="zh-CN"/>
        </w:rPr>
        <w:t>《关于印发山东省生产经营单位全员安全生产责任清单的通知》鲁安办发[2021]50号</w:t>
      </w:r>
    </w:p>
    <w:p>
      <w:pPr>
        <w:pStyle w:val="125"/>
        <w:numPr>
          <w:ilvl w:val="0"/>
          <w:numId w:val="7"/>
        </w:numPr>
        <w:adjustRightInd w:val="0"/>
        <w:snapToGrid w:val="0"/>
        <w:spacing w:line="360" w:lineRule="auto"/>
        <w:ind w:left="0" w:firstLine="560"/>
        <w:rPr>
          <w:rFonts w:hint="eastAsia"/>
          <w:sz w:val="28"/>
        </w:rPr>
      </w:pPr>
      <w:r>
        <w:rPr>
          <w:rFonts w:hint="eastAsia"/>
          <w:sz w:val="28"/>
          <w:lang w:eastAsia="zh-CN"/>
        </w:rPr>
        <w:t>《</w:t>
      </w:r>
      <w:r>
        <w:rPr>
          <w:rFonts w:hint="eastAsia"/>
          <w:sz w:val="28"/>
          <w:lang w:val="en-US" w:eastAsia="zh-CN"/>
        </w:rPr>
        <w:t>重点行业领域重大安全风险隐患清单</w:t>
      </w:r>
      <w:r>
        <w:rPr>
          <w:rFonts w:hint="eastAsia"/>
          <w:sz w:val="28"/>
          <w:lang w:eastAsia="zh-CN"/>
        </w:rPr>
        <w:t>》</w:t>
      </w:r>
      <w:r>
        <w:rPr>
          <w:rFonts w:hint="eastAsia"/>
          <w:sz w:val="28"/>
          <w:lang w:val="en-US" w:eastAsia="zh-CN"/>
        </w:rPr>
        <w:t>鲁安发[2022]11号</w:t>
      </w:r>
    </w:p>
    <w:p>
      <w:pPr>
        <w:pStyle w:val="125"/>
        <w:numPr>
          <w:ilvl w:val="0"/>
          <w:numId w:val="7"/>
        </w:numPr>
        <w:adjustRightInd w:val="0"/>
        <w:snapToGrid w:val="0"/>
        <w:spacing w:line="360" w:lineRule="auto"/>
        <w:ind w:left="0" w:firstLine="560"/>
        <w:rPr>
          <w:rFonts w:hint="eastAsia"/>
          <w:sz w:val="28"/>
        </w:rPr>
      </w:pPr>
      <w:r>
        <w:rPr>
          <w:rFonts w:hint="eastAsia"/>
          <w:sz w:val="28"/>
        </w:rPr>
        <w:t>《硫化氢防护安全管理规定（试行）》鲁安监发[2008]51号</w:t>
      </w:r>
    </w:p>
    <w:p>
      <w:pPr>
        <w:pStyle w:val="125"/>
        <w:numPr>
          <w:ilvl w:val="0"/>
          <w:numId w:val="7"/>
        </w:numPr>
        <w:adjustRightInd w:val="0"/>
        <w:snapToGrid w:val="0"/>
        <w:spacing w:line="360" w:lineRule="auto"/>
        <w:ind w:left="0" w:firstLine="560"/>
        <w:rPr>
          <w:rFonts w:hint="eastAsia"/>
          <w:sz w:val="28"/>
        </w:rPr>
      </w:pPr>
      <w:r>
        <w:rPr>
          <w:rFonts w:hint="eastAsia"/>
          <w:sz w:val="28"/>
        </w:rPr>
        <w:t>《山东省非煤矿矿山企业安全生产许可证实施方案》鲁安监发[2009]133号</w:t>
      </w:r>
    </w:p>
    <w:p>
      <w:pPr>
        <w:pStyle w:val="125"/>
        <w:numPr>
          <w:ilvl w:val="0"/>
          <w:numId w:val="7"/>
        </w:numPr>
        <w:adjustRightInd w:val="0"/>
        <w:snapToGrid w:val="0"/>
        <w:spacing w:line="360" w:lineRule="auto"/>
        <w:ind w:left="0" w:firstLine="560"/>
        <w:rPr>
          <w:rFonts w:hint="eastAsia"/>
          <w:sz w:val="28"/>
        </w:rPr>
      </w:pPr>
      <w:r>
        <w:rPr>
          <w:rFonts w:hint="eastAsia"/>
          <w:sz w:val="28"/>
        </w:rPr>
        <w:t>《关于进一步加强非煤矿山安全生产工作的意见》鲁安监发[2013]86号</w:t>
      </w:r>
    </w:p>
    <w:p>
      <w:pPr>
        <w:pStyle w:val="125"/>
        <w:numPr>
          <w:ilvl w:val="0"/>
          <w:numId w:val="7"/>
        </w:numPr>
        <w:adjustRightInd w:val="0"/>
        <w:snapToGrid w:val="0"/>
        <w:spacing w:line="360" w:lineRule="auto"/>
        <w:ind w:left="0" w:firstLine="560"/>
        <w:rPr>
          <w:rFonts w:hint="eastAsia"/>
          <w:sz w:val="28"/>
        </w:rPr>
      </w:pPr>
      <w:r>
        <w:rPr>
          <w:rFonts w:hint="eastAsia"/>
          <w:sz w:val="28"/>
          <w:lang w:val="en-US" w:eastAsia="zh-CN"/>
        </w:rPr>
        <w:t>《关于高危行业主要负责人和安全生产管理人员安全培训证书管理工作的通知》鲁安监发[2015]94号</w:t>
      </w:r>
    </w:p>
    <w:p>
      <w:pPr>
        <w:pStyle w:val="125"/>
        <w:numPr>
          <w:ilvl w:val="0"/>
          <w:numId w:val="7"/>
        </w:numPr>
        <w:adjustRightInd w:val="0"/>
        <w:snapToGrid w:val="0"/>
        <w:spacing w:line="360" w:lineRule="auto"/>
        <w:ind w:left="0" w:firstLine="560"/>
        <w:rPr>
          <w:rFonts w:hint="eastAsia"/>
          <w:sz w:val="28"/>
        </w:rPr>
      </w:pPr>
      <w:r>
        <w:rPr>
          <w:rFonts w:hint="eastAsia"/>
          <w:sz w:val="28"/>
          <w:lang w:val="en-US" w:eastAsia="zh-CN"/>
        </w:rPr>
        <w:t>《关于对钻井、物探、测井、录井、井下作业、油建企业实施安全生产许可的通知》鲁应急函[2021]86号</w:t>
      </w:r>
    </w:p>
    <w:p>
      <w:pPr>
        <w:pStyle w:val="125"/>
        <w:numPr>
          <w:ilvl w:val="0"/>
          <w:numId w:val="7"/>
        </w:numPr>
        <w:adjustRightInd w:val="0"/>
        <w:snapToGrid w:val="0"/>
        <w:spacing w:line="360" w:lineRule="auto"/>
        <w:ind w:left="0" w:firstLine="560"/>
        <w:rPr>
          <w:rFonts w:hint="eastAsia"/>
          <w:sz w:val="28"/>
        </w:rPr>
      </w:pPr>
      <w:r>
        <w:rPr>
          <w:rFonts w:hint="eastAsia"/>
          <w:sz w:val="28"/>
          <w:lang w:eastAsia="zh-CN"/>
        </w:rPr>
        <w:t>《</w:t>
      </w:r>
      <w:r>
        <w:rPr>
          <w:rFonts w:hint="eastAsia"/>
          <w:sz w:val="28"/>
          <w:lang w:val="en-US" w:eastAsia="zh-CN"/>
        </w:rPr>
        <w:t>关于实施〈企业安全生产标准化建设定级办法〉的通知</w:t>
      </w:r>
      <w:r>
        <w:rPr>
          <w:rFonts w:hint="eastAsia"/>
          <w:sz w:val="28"/>
          <w:lang w:eastAsia="zh-CN"/>
        </w:rPr>
        <w:t>》</w:t>
      </w:r>
      <w:r>
        <w:rPr>
          <w:rFonts w:hint="eastAsia"/>
          <w:sz w:val="28"/>
          <w:lang w:val="en-US" w:eastAsia="zh-CN"/>
        </w:rPr>
        <w:t>鲁应急发[2022]5号</w:t>
      </w:r>
    </w:p>
    <w:p>
      <w:pPr>
        <w:pStyle w:val="125"/>
        <w:numPr>
          <w:ilvl w:val="0"/>
          <w:numId w:val="7"/>
        </w:numPr>
        <w:adjustRightInd w:val="0"/>
        <w:snapToGrid w:val="0"/>
        <w:spacing w:line="360" w:lineRule="auto"/>
        <w:ind w:left="0" w:firstLine="560"/>
        <w:rPr>
          <w:rFonts w:hint="eastAsia"/>
          <w:sz w:val="28"/>
        </w:rPr>
      </w:pPr>
      <w:r>
        <w:rPr>
          <w:rFonts w:hint="eastAsia"/>
          <w:sz w:val="28"/>
          <w:lang w:eastAsia="zh-CN"/>
        </w:rPr>
        <w:t>《</w:t>
      </w:r>
      <w:r>
        <w:rPr>
          <w:rFonts w:hint="eastAsia"/>
          <w:sz w:val="28"/>
          <w:lang w:val="en-US" w:eastAsia="zh-CN"/>
        </w:rPr>
        <w:t>山东省人民政府安全生产委员会办公室山东省应急管理厅关于印发〈山东省生产经营单位劳务派遣人员和灵活用工人员安全管理办法〉的通知</w:t>
      </w:r>
      <w:r>
        <w:rPr>
          <w:rFonts w:hint="eastAsia"/>
          <w:sz w:val="28"/>
          <w:lang w:eastAsia="zh-CN"/>
        </w:rPr>
        <w:t>》</w:t>
      </w:r>
      <w:r>
        <w:rPr>
          <w:rFonts w:hint="eastAsia"/>
          <w:sz w:val="28"/>
          <w:lang w:val="en-US" w:eastAsia="zh-CN"/>
        </w:rPr>
        <w:t>鲁应急发[2022]7号</w:t>
      </w:r>
    </w:p>
    <w:p>
      <w:pPr>
        <w:pStyle w:val="125"/>
        <w:numPr>
          <w:ilvl w:val="0"/>
          <w:numId w:val="7"/>
        </w:numPr>
        <w:adjustRightInd w:val="0"/>
        <w:snapToGrid w:val="0"/>
        <w:spacing w:line="360" w:lineRule="auto"/>
        <w:ind w:left="0" w:firstLine="560"/>
        <w:rPr>
          <w:rFonts w:hint="eastAsia"/>
          <w:sz w:val="28"/>
        </w:rPr>
      </w:pPr>
      <w:r>
        <w:rPr>
          <w:rFonts w:hint="default"/>
          <w:sz w:val="28"/>
          <w:lang w:val="en-US" w:eastAsia="zh-CN"/>
        </w:rPr>
        <w:t>《东营市应急管理局关于进一步规范非煤矿矿山《安全生产许可证》颁发管理有关问题的函》东应急函字</w:t>
      </w:r>
      <w:r>
        <w:rPr>
          <w:rFonts w:hint="default"/>
          <w:sz w:val="28"/>
        </w:rPr>
        <w:t>[20</w:t>
      </w:r>
      <w:r>
        <w:rPr>
          <w:rFonts w:hint="default"/>
          <w:sz w:val="28"/>
          <w:lang w:val="en-US" w:eastAsia="zh-CN"/>
        </w:rPr>
        <w:t>21</w:t>
      </w:r>
      <w:r>
        <w:rPr>
          <w:rFonts w:hint="default"/>
          <w:sz w:val="28"/>
        </w:rPr>
        <w:t>]</w:t>
      </w:r>
      <w:r>
        <w:rPr>
          <w:rFonts w:hint="default"/>
          <w:sz w:val="28"/>
          <w:lang w:val="en-US" w:eastAsia="zh-CN"/>
        </w:rPr>
        <w:t>50号</w:t>
      </w:r>
    </w:p>
    <w:p>
      <w:pPr>
        <w:pStyle w:val="125"/>
        <w:numPr>
          <w:ilvl w:val="0"/>
          <w:numId w:val="7"/>
        </w:numPr>
        <w:adjustRightInd w:val="0"/>
        <w:snapToGrid w:val="0"/>
        <w:spacing w:line="360" w:lineRule="auto"/>
        <w:ind w:left="0" w:firstLine="560"/>
        <w:rPr>
          <w:rFonts w:hint="eastAsia"/>
          <w:sz w:val="28"/>
        </w:rPr>
      </w:pPr>
      <w:r>
        <w:rPr>
          <w:rFonts w:hint="eastAsia"/>
          <w:sz w:val="28"/>
          <w:lang w:eastAsia="zh-CN"/>
        </w:rPr>
        <w:t>《</w:t>
      </w:r>
      <w:r>
        <w:rPr>
          <w:rFonts w:hint="eastAsia"/>
          <w:sz w:val="28"/>
          <w:lang w:val="en-US" w:eastAsia="zh-CN"/>
        </w:rPr>
        <w:t>关于印发〈非煤矿矿山安全生产许可证申请自查要点〉的通知</w:t>
      </w:r>
      <w:r>
        <w:rPr>
          <w:rFonts w:hint="eastAsia"/>
          <w:sz w:val="28"/>
          <w:lang w:eastAsia="zh-CN"/>
        </w:rPr>
        <w:t>》</w:t>
      </w:r>
      <w:r>
        <w:rPr>
          <w:rFonts w:hint="eastAsia"/>
          <w:sz w:val="28"/>
          <w:lang w:val="en-US" w:eastAsia="zh-CN"/>
        </w:rPr>
        <w:t>东应急函字[2022]13号</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1</w:t>
      </w:r>
      <w:r>
        <w:rPr>
          <w:rFonts w:eastAsia="黑体"/>
          <w:b w:val="0"/>
          <w:snapToGrid w:val="0"/>
          <w:kern w:val="0"/>
          <w:sz w:val="28"/>
          <w:szCs w:val="28"/>
        </w:rPr>
        <w:t>.2</w:t>
      </w:r>
      <w:r>
        <w:rPr>
          <w:rFonts w:hint="eastAsia" w:eastAsia="黑体"/>
          <w:b w:val="0"/>
          <w:snapToGrid w:val="0"/>
          <w:kern w:val="0"/>
          <w:sz w:val="28"/>
          <w:szCs w:val="28"/>
        </w:rPr>
        <w:t>.6 国家标准</w:t>
      </w:r>
    </w:p>
    <w:p>
      <w:pPr>
        <w:pStyle w:val="125"/>
        <w:numPr>
          <w:ilvl w:val="0"/>
          <w:numId w:val="8"/>
        </w:numPr>
        <w:adjustRightInd w:val="0"/>
        <w:snapToGrid w:val="0"/>
        <w:spacing w:line="360" w:lineRule="auto"/>
        <w:ind w:left="0" w:firstLine="560"/>
        <w:rPr>
          <w:sz w:val="28"/>
        </w:rPr>
      </w:pPr>
      <w:r>
        <w:rPr>
          <w:rFonts w:hint="eastAsia"/>
          <w:sz w:val="28"/>
        </w:rPr>
        <w:t>《安全色》GB2893-2008</w:t>
      </w:r>
    </w:p>
    <w:p>
      <w:pPr>
        <w:pStyle w:val="125"/>
        <w:numPr>
          <w:ilvl w:val="0"/>
          <w:numId w:val="8"/>
        </w:numPr>
        <w:adjustRightInd w:val="0"/>
        <w:snapToGrid w:val="0"/>
        <w:spacing w:line="360" w:lineRule="auto"/>
        <w:ind w:left="0" w:firstLine="560"/>
        <w:rPr>
          <w:sz w:val="28"/>
        </w:rPr>
      </w:pPr>
      <w:r>
        <w:rPr>
          <w:rFonts w:hint="eastAsia"/>
          <w:sz w:val="28"/>
        </w:rPr>
        <w:t>《安全标志及其使用导则》GB2894-2008</w:t>
      </w:r>
    </w:p>
    <w:p>
      <w:pPr>
        <w:pStyle w:val="125"/>
        <w:numPr>
          <w:ilvl w:val="0"/>
          <w:numId w:val="8"/>
        </w:numPr>
        <w:adjustRightInd w:val="0"/>
        <w:snapToGrid w:val="0"/>
        <w:spacing w:line="360" w:lineRule="auto"/>
        <w:ind w:left="0" w:firstLine="560"/>
        <w:rPr>
          <w:sz w:val="28"/>
        </w:rPr>
      </w:pPr>
      <w:r>
        <w:rPr>
          <w:rFonts w:hint="eastAsia"/>
          <w:sz w:val="28"/>
        </w:rPr>
        <w:t>《企业职工伤亡事故分类》GB6441-1986</w:t>
      </w:r>
    </w:p>
    <w:p>
      <w:pPr>
        <w:pStyle w:val="125"/>
        <w:numPr>
          <w:ilvl w:val="0"/>
          <w:numId w:val="8"/>
        </w:numPr>
        <w:adjustRightInd w:val="0"/>
        <w:snapToGrid w:val="0"/>
        <w:spacing w:line="360" w:lineRule="auto"/>
        <w:ind w:left="0" w:firstLine="560"/>
        <w:rPr>
          <w:sz w:val="28"/>
        </w:rPr>
      </w:pPr>
      <w:r>
        <w:rPr>
          <w:rFonts w:ascii="Times New Roman" w:hAnsi="Times New Roman" w:cs="Times New Roman"/>
          <w:bCs/>
          <w:smallCaps w:val="0"/>
          <w:sz w:val="28"/>
          <w:szCs w:val="28"/>
        </w:rPr>
        <w:t>《生产过程安全卫生要求总则》GB/T12801-2008</w:t>
      </w:r>
    </w:p>
    <w:p>
      <w:pPr>
        <w:pStyle w:val="125"/>
        <w:numPr>
          <w:ilvl w:val="0"/>
          <w:numId w:val="8"/>
        </w:numPr>
        <w:adjustRightInd w:val="0"/>
        <w:snapToGrid w:val="0"/>
        <w:spacing w:line="360" w:lineRule="auto"/>
        <w:ind w:left="0" w:firstLine="560"/>
        <w:rPr>
          <w:sz w:val="28"/>
        </w:rPr>
      </w:pPr>
      <w:r>
        <w:rPr>
          <w:rFonts w:hint="eastAsia"/>
          <w:sz w:val="28"/>
        </w:rPr>
        <w:t>《</w:t>
      </w:r>
      <w:r>
        <w:rPr>
          <w:rFonts w:ascii="Times New Roman" w:hAnsi="Times New Roman" w:cs="Times New Roman"/>
          <w:bCs/>
          <w:smallCaps w:val="0"/>
          <w:sz w:val="28"/>
          <w:szCs w:val="28"/>
        </w:rPr>
        <w:t>石油与石油设施雷电安全规范》GB15599-2009</w:t>
      </w:r>
    </w:p>
    <w:p>
      <w:pPr>
        <w:pStyle w:val="125"/>
        <w:numPr>
          <w:ilvl w:val="0"/>
          <w:numId w:val="8"/>
        </w:numPr>
        <w:adjustRightInd w:val="0"/>
        <w:snapToGrid w:val="0"/>
        <w:spacing w:line="360" w:lineRule="auto"/>
        <w:ind w:left="0" w:firstLine="560"/>
        <w:rPr>
          <w:rFonts w:ascii="Times New Roman" w:hAnsi="Times New Roman" w:cs="Times New Roman"/>
          <w:bCs/>
          <w:smallCaps w:val="0"/>
          <w:sz w:val="28"/>
          <w:szCs w:val="28"/>
        </w:rPr>
      </w:pPr>
      <w:r>
        <w:rPr>
          <w:rFonts w:hint="eastAsia"/>
          <w:sz w:val="28"/>
        </w:rPr>
        <w:t>《危险化学品重大危险源辨识》GB18218-20</w:t>
      </w:r>
      <w:r>
        <w:rPr>
          <w:sz w:val="28"/>
        </w:rPr>
        <w:t>18</w:t>
      </w:r>
    </w:p>
    <w:p>
      <w:pPr>
        <w:pStyle w:val="125"/>
        <w:numPr>
          <w:ilvl w:val="0"/>
          <w:numId w:val="8"/>
        </w:numPr>
        <w:adjustRightInd w:val="0"/>
        <w:snapToGrid w:val="0"/>
        <w:spacing w:line="360" w:lineRule="auto"/>
        <w:ind w:left="0" w:firstLine="560"/>
        <w:rPr>
          <w:rFonts w:ascii="Times New Roman" w:hAnsi="Times New Roman" w:cs="Times New Roman"/>
          <w:bCs/>
          <w:smallCaps w:val="0"/>
          <w:sz w:val="28"/>
          <w:szCs w:val="28"/>
        </w:rPr>
      </w:pPr>
      <w:r>
        <w:rPr>
          <w:rFonts w:hint="eastAsia"/>
          <w:sz w:val="28"/>
        </w:rPr>
        <w:t>《生产经营单位生产安全事故应急预案编制导则》GB/T29639-20</w:t>
      </w:r>
      <w:r>
        <w:rPr>
          <w:rFonts w:hint="eastAsia"/>
          <w:sz w:val="28"/>
          <w:lang w:val="en-US" w:eastAsia="zh-CN"/>
        </w:rPr>
        <w:t>20</w:t>
      </w:r>
    </w:p>
    <w:p>
      <w:pPr>
        <w:pStyle w:val="125"/>
        <w:numPr>
          <w:ilvl w:val="0"/>
          <w:numId w:val="8"/>
        </w:numPr>
        <w:adjustRightInd w:val="0"/>
        <w:snapToGrid w:val="0"/>
        <w:spacing w:line="360" w:lineRule="auto"/>
        <w:ind w:left="0" w:firstLine="560"/>
        <w:rPr>
          <w:rFonts w:hint="eastAsia" w:ascii="Times New Roman" w:hAnsi="Times New Roman" w:cs="Times New Roman"/>
          <w:b w:val="0"/>
          <w:bCs w:val="0"/>
          <w:sz w:val="28"/>
          <w:u w:val="none"/>
        </w:rPr>
      </w:pPr>
      <w:r>
        <w:rPr>
          <w:rFonts w:hint="eastAsia" w:ascii="Times New Roman" w:hAnsi="Times New Roman" w:cs="Times New Roman"/>
          <w:b w:val="0"/>
          <w:bCs w:val="0"/>
          <w:sz w:val="28"/>
          <w:u w:val="none"/>
        </w:rPr>
        <w:t>《石油天然气钻井井控技术规范》GB/T31033-2014</w:t>
      </w:r>
    </w:p>
    <w:p>
      <w:pPr>
        <w:pStyle w:val="125"/>
        <w:numPr>
          <w:ilvl w:val="0"/>
          <w:numId w:val="8"/>
        </w:numPr>
        <w:adjustRightInd w:val="0"/>
        <w:snapToGrid w:val="0"/>
        <w:spacing w:line="360" w:lineRule="auto"/>
        <w:ind w:left="0" w:firstLine="560"/>
        <w:rPr>
          <w:rFonts w:ascii="Times New Roman" w:hAnsi="Times New Roman" w:cs="Times New Roman"/>
          <w:bCs/>
          <w:smallCaps w:val="0"/>
          <w:sz w:val="28"/>
          <w:szCs w:val="28"/>
        </w:rPr>
      </w:pPr>
      <w:r>
        <w:rPr>
          <w:rFonts w:ascii="Times New Roman" w:hAnsi="Times New Roman" w:cs="Times New Roman"/>
          <w:bCs/>
          <w:smallCaps w:val="0"/>
          <w:sz w:val="28"/>
          <w:szCs w:val="28"/>
        </w:rPr>
        <w:t>《个体防护装备配备规范第2部分</w:t>
      </w:r>
      <w:r>
        <w:rPr>
          <w:rFonts w:hint="eastAsia" w:cs="Times New Roman"/>
          <w:bCs/>
          <w:smallCaps w:val="0"/>
          <w:sz w:val="28"/>
          <w:szCs w:val="28"/>
          <w:lang w:eastAsia="zh-CN"/>
        </w:rPr>
        <w:t>：</w:t>
      </w:r>
      <w:r>
        <w:rPr>
          <w:rFonts w:ascii="Times New Roman" w:hAnsi="Times New Roman" w:cs="Times New Roman"/>
          <w:bCs/>
          <w:smallCaps w:val="0"/>
          <w:sz w:val="28"/>
          <w:szCs w:val="28"/>
        </w:rPr>
        <w:t>石油、化工、天然气》GB39800.2-2020</w:t>
      </w:r>
    </w:p>
    <w:p>
      <w:pPr>
        <w:pStyle w:val="125"/>
        <w:numPr>
          <w:ilvl w:val="0"/>
          <w:numId w:val="8"/>
        </w:numPr>
        <w:adjustRightInd w:val="0"/>
        <w:snapToGrid w:val="0"/>
        <w:spacing w:line="360" w:lineRule="auto"/>
        <w:ind w:left="0" w:firstLine="560"/>
        <w:rPr>
          <w:rFonts w:ascii="Times New Roman" w:hAnsi="Times New Roman" w:cs="Times New Roman"/>
          <w:bCs/>
          <w:smallCaps w:val="0"/>
          <w:sz w:val="28"/>
          <w:szCs w:val="28"/>
        </w:rPr>
      </w:pPr>
      <w:r>
        <w:rPr>
          <w:rFonts w:ascii="Times New Roman" w:hAnsi="Times New Roman" w:cs="Times New Roman"/>
          <w:bCs/>
          <w:smallCaps w:val="0"/>
          <w:sz w:val="28"/>
          <w:szCs w:val="28"/>
        </w:rPr>
        <w:t>《供配电系统设计规范》GB50052-2009</w:t>
      </w:r>
    </w:p>
    <w:p>
      <w:pPr>
        <w:pStyle w:val="125"/>
        <w:numPr>
          <w:ilvl w:val="0"/>
          <w:numId w:val="8"/>
        </w:numPr>
        <w:adjustRightInd w:val="0"/>
        <w:snapToGrid w:val="0"/>
        <w:spacing w:line="360" w:lineRule="auto"/>
        <w:ind w:left="0" w:firstLine="560"/>
        <w:rPr>
          <w:sz w:val="28"/>
        </w:rPr>
      </w:pPr>
      <w:r>
        <w:rPr>
          <w:rFonts w:ascii="Times New Roman" w:hAnsi="Times New Roman" w:cs="Times New Roman"/>
          <w:bCs/>
          <w:smallCaps w:val="0"/>
          <w:sz w:val="28"/>
          <w:szCs w:val="28"/>
        </w:rPr>
        <w:t>《低压配电设计规范》GB50054-2011</w:t>
      </w:r>
    </w:p>
    <w:p>
      <w:pPr>
        <w:pStyle w:val="125"/>
        <w:numPr>
          <w:ilvl w:val="0"/>
          <w:numId w:val="8"/>
        </w:numPr>
        <w:adjustRightInd w:val="0"/>
        <w:snapToGrid w:val="0"/>
        <w:spacing w:line="360" w:lineRule="auto"/>
        <w:ind w:left="0" w:firstLine="560"/>
        <w:rPr>
          <w:sz w:val="28"/>
        </w:rPr>
      </w:pPr>
      <w:r>
        <w:rPr>
          <w:rFonts w:hint="eastAsia"/>
          <w:sz w:val="28"/>
        </w:rPr>
        <w:t>《企业安全生产标准化基本规范》</w:t>
      </w:r>
      <w:r>
        <w:rPr>
          <w:sz w:val="28"/>
        </w:rPr>
        <w:t>GB/T 33000-2016</w:t>
      </w:r>
    </w:p>
    <w:p>
      <w:pPr>
        <w:pStyle w:val="125"/>
        <w:numPr>
          <w:ilvl w:val="0"/>
          <w:numId w:val="8"/>
        </w:numPr>
        <w:adjustRightInd w:val="0"/>
        <w:snapToGrid w:val="0"/>
        <w:spacing w:line="360" w:lineRule="auto"/>
        <w:ind w:left="0" w:firstLine="560"/>
        <w:rPr>
          <w:sz w:val="28"/>
        </w:rPr>
      </w:pPr>
      <w:r>
        <w:rPr>
          <w:rFonts w:hint="eastAsia"/>
          <w:sz w:val="28"/>
        </w:rPr>
        <w:t>《工作场所有害因素职业接触限值第1部分</w:t>
      </w:r>
      <w:r>
        <w:rPr>
          <w:rFonts w:hint="eastAsia"/>
          <w:sz w:val="28"/>
          <w:lang w:eastAsia="zh-CN"/>
        </w:rPr>
        <w:t>：</w:t>
      </w:r>
      <w:r>
        <w:rPr>
          <w:rFonts w:hint="eastAsia"/>
          <w:sz w:val="28"/>
        </w:rPr>
        <w:t>化学有害因素》GBZ2.1-20</w:t>
      </w:r>
      <w:r>
        <w:rPr>
          <w:rFonts w:hint="eastAsia"/>
          <w:sz w:val="28"/>
          <w:lang w:val="en-US" w:eastAsia="zh-CN"/>
        </w:rPr>
        <w:t>19</w:t>
      </w:r>
    </w:p>
    <w:p>
      <w:pPr>
        <w:pStyle w:val="125"/>
        <w:numPr>
          <w:ilvl w:val="0"/>
          <w:numId w:val="8"/>
        </w:numPr>
        <w:adjustRightInd w:val="0"/>
        <w:snapToGrid w:val="0"/>
        <w:spacing w:line="360" w:lineRule="auto"/>
        <w:ind w:left="0" w:firstLine="560"/>
        <w:rPr>
          <w:sz w:val="28"/>
        </w:rPr>
      </w:pPr>
      <w:r>
        <w:rPr>
          <w:rFonts w:hint="eastAsia"/>
          <w:sz w:val="28"/>
        </w:rPr>
        <w:t>《工作场所有害因素职业接触限值第2部分</w:t>
      </w:r>
      <w:r>
        <w:rPr>
          <w:rFonts w:hint="eastAsia"/>
          <w:sz w:val="28"/>
          <w:lang w:eastAsia="zh-CN"/>
        </w:rPr>
        <w:t>：</w:t>
      </w:r>
      <w:r>
        <w:rPr>
          <w:rFonts w:hint="eastAsia"/>
          <w:sz w:val="28"/>
        </w:rPr>
        <w:t>物理因素》GBZ2.2-2007</w:t>
      </w:r>
    </w:p>
    <w:p>
      <w:pPr>
        <w:pStyle w:val="125"/>
        <w:numPr>
          <w:ilvl w:val="0"/>
          <w:numId w:val="8"/>
        </w:numPr>
        <w:adjustRightInd w:val="0"/>
        <w:snapToGrid w:val="0"/>
        <w:spacing w:line="360" w:lineRule="auto"/>
        <w:ind w:left="0" w:firstLine="560"/>
        <w:rPr>
          <w:sz w:val="28"/>
        </w:rPr>
      </w:pPr>
      <w:r>
        <w:rPr>
          <w:rFonts w:hint="eastAsia"/>
          <w:sz w:val="28"/>
        </w:rPr>
        <w:t>《职业性接触毒物危害程度分级》GBZ230-2010</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1.2.7 行业、地方标准</w:t>
      </w:r>
    </w:p>
    <w:p>
      <w:pPr>
        <w:pStyle w:val="259"/>
        <w:numPr>
          <w:ilvl w:val="0"/>
          <w:numId w:val="9"/>
        </w:numPr>
        <w:adjustRightInd w:val="0"/>
        <w:snapToGrid w:val="0"/>
        <w:spacing w:line="360" w:lineRule="auto"/>
        <w:ind w:left="0" w:firstLine="544" w:firstLineChars="0"/>
        <w:rPr>
          <w:bCs/>
          <w:spacing w:val="-4"/>
          <w:sz w:val="28"/>
          <w:szCs w:val="28"/>
        </w:rPr>
      </w:pPr>
      <w:r>
        <w:rPr>
          <w:rFonts w:hint="eastAsia"/>
          <w:bCs/>
          <w:spacing w:val="-4"/>
          <w:sz w:val="28"/>
          <w:szCs w:val="28"/>
        </w:rPr>
        <w:t>《石油天然气安全规程》AQ2012-2007</w:t>
      </w:r>
    </w:p>
    <w:p>
      <w:pPr>
        <w:pStyle w:val="125"/>
        <w:numPr>
          <w:ilvl w:val="0"/>
          <w:numId w:val="9"/>
        </w:numPr>
        <w:adjustRightInd w:val="0"/>
        <w:snapToGrid w:val="0"/>
        <w:spacing w:line="360" w:lineRule="auto"/>
        <w:ind w:left="0" w:firstLine="544"/>
        <w:rPr>
          <w:sz w:val="28"/>
        </w:rPr>
      </w:pPr>
      <w:r>
        <w:rPr>
          <w:rFonts w:hint="eastAsia"/>
          <w:bCs/>
          <w:spacing w:val="-4"/>
          <w:sz w:val="28"/>
          <w:szCs w:val="28"/>
        </w:rPr>
        <w:t>《石油行业安全生产标准化  导则》AQ2037-2012</w:t>
      </w:r>
    </w:p>
    <w:p>
      <w:pPr>
        <w:pStyle w:val="125"/>
        <w:numPr>
          <w:ilvl w:val="0"/>
          <w:numId w:val="9"/>
        </w:numPr>
        <w:adjustRightInd w:val="0"/>
        <w:snapToGrid w:val="0"/>
        <w:spacing w:line="360" w:lineRule="auto"/>
        <w:ind w:left="0" w:firstLine="544"/>
        <w:rPr>
          <w:sz w:val="28"/>
        </w:rPr>
      </w:pPr>
      <w:r>
        <w:rPr>
          <w:rFonts w:hint="eastAsia"/>
          <w:bCs/>
          <w:spacing w:val="-4"/>
          <w:sz w:val="28"/>
          <w:szCs w:val="28"/>
        </w:rPr>
        <w:t>《石油行业安全生产标准化  钻井实施规范》AQ2039-2012</w:t>
      </w:r>
    </w:p>
    <w:p>
      <w:pPr>
        <w:pStyle w:val="125"/>
        <w:numPr>
          <w:ilvl w:val="0"/>
          <w:numId w:val="9"/>
        </w:numPr>
        <w:adjustRightInd w:val="0"/>
        <w:snapToGrid w:val="0"/>
        <w:spacing w:line="360" w:lineRule="auto"/>
        <w:ind w:left="0" w:firstLine="560"/>
        <w:rPr>
          <w:sz w:val="28"/>
        </w:rPr>
      </w:pPr>
      <w:r>
        <w:rPr>
          <w:rFonts w:hint="eastAsia"/>
          <w:sz w:val="28"/>
        </w:rPr>
        <w:t>《安全评价通则》AQ8001-2007</w:t>
      </w:r>
    </w:p>
    <w:p>
      <w:pPr>
        <w:pStyle w:val="125"/>
        <w:numPr>
          <w:ilvl w:val="0"/>
          <w:numId w:val="9"/>
        </w:numPr>
        <w:adjustRightInd w:val="0"/>
        <w:snapToGrid w:val="0"/>
        <w:spacing w:line="360" w:lineRule="auto"/>
        <w:ind w:left="0" w:firstLine="544"/>
        <w:rPr>
          <w:bCs/>
          <w:spacing w:val="-4"/>
          <w:sz w:val="28"/>
          <w:szCs w:val="28"/>
        </w:rPr>
      </w:pPr>
      <w:r>
        <w:rPr>
          <w:rFonts w:ascii="Times New Roman" w:hAnsi="Times New Roman" w:cs="Times New Roman"/>
          <w:bCs/>
          <w:smallCaps w:val="0"/>
          <w:sz w:val="28"/>
          <w:szCs w:val="28"/>
        </w:rPr>
        <w:t>《硫化氢环境钻井场所作业安全规范》SY/T5087-2017</w:t>
      </w:r>
    </w:p>
    <w:p>
      <w:pPr>
        <w:pStyle w:val="125"/>
        <w:numPr>
          <w:ilvl w:val="0"/>
          <w:numId w:val="9"/>
        </w:numPr>
        <w:adjustRightInd w:val="0"/>
        <w:snapToGrid w:val="0"/>
        <w:spacing w:line="360" w:lineRule="auto"/>
        <w:ind w:left="0" w:firstLine="560"/>
        <w:rPr>
          <w:rFonts w:hint="eastAsia"/>
          <w:sz w:val="28"/>
        </w:rPr>
      </w:pPr>
      <w:r>
        <w:rPr>
          <w:rFonts w:hint="eastAsia"/>
          <w:sz w:val="28"/>
        </w:rPr>
        <w:t>《</w:t>
      </w:r>
      <w:r>
        <w:rPr>
          <w:rFonts w:hint="eastAsia"/>
          <w:bCs/>
          <w:spacing w:val="-4"/>
          <w:sz w:val="28"/>
          <w:szCs w:val="28"/>
        </w:rPr>
        <w:t>石油天然气钻井、开发、储运防火防爆安全生产技术规程》SY</w:t>
      </w:r>
      <w:r>
        <w:rPr>
          <w:rFonts w:hint="eastAsia"/>
          <w:bCs/>
          <w:spacing w:val="-4"/>
          <w:sz w:val="28"/>
          <w:szCs w:val="28"/>
          <w:lang w:val="en-US" w:eastAsia="zh-CN"/>
        </w:rPr>
        <w:t>/T</w:t>
      </w:r>
      <w:r>
        <w:rPr>
          <w:rFonts w:hint="eastAsia"/>
          <w:bCs/>
          <w:spacing w:val="-4"/>
          <w:sz w:val="28"/>
          <w:szCs w:val="28"/>
        </w:rPr>
        <w:t>5225-201</w:t>
      </w:r>
      <w:r>
        <w:rPr>
          <w:rFonts w:hint="eastAsia"/>
          <w:bCs/>
          <w:spacing w:val="-4"/>
          <w:sz w:val="28"/>
          <w:szCs w:val="28"/>
          <w:lang w:val="en-US" w:eastAsia="zh-CN"/>
        </w:rPr>
        <w:t>9</w:t>
      </w:r>
    </w:p>
    <w:p>
      <w:pPr>
        <w:pStyle w:val="125"/>
        <w:numPr>
          <w:ilvl w:val="0"/>
          <w:numId w:val="9"/>
        </w:numPr>
        <w:adjustRightInd w:val="0"/>
        <w:snapToGrid w:val="0"/>
        <w:spacing w:line="360" w:lineRule="auto"/>
        <w:ind w:left="0" w:firstLine="560"/>
        <w:rPr>
          <w:rFonts w:hint="eastAsia"/>
          <w:sz w:val="28"/>
        </w:rPr>
      </w:pPr>
      <w:r>
        <w:rPr>
          <w:rFonts w:hint="eastAsia"/>
          <w:sz w:val="28"/>
        </w:rPr>
        <w:t>《定向井测量仪器测量及检验第1部分</w:t>
      </w:r>
      <w:r>
        <w:rPr>
          <w:rFonts w:hint="eastAsia"/>
          <w:sz w:val="28"/>
          <w:lang w:eastAsia="zh-CN"/>
        </w:rPr>
        <w:t>：</w:t>
      </w:r>
      <w:r>
        <w:rPr>
          <w:rFonts w:hint="eastAsia"/>
          <w:sz w:val="28"/>
        </w:rPr>
        <w:t>随钻类》SY/T5416.1-2016</w:t>
      </w:r>
    </w:p>
    <w:p>
      <w:pPr>
        <w:pStyle w:val="125"/>
        <w:numPr>
          <w:ilvl w:val="0"/>
          <w:numId w:val="9"/>
        </w:numPr>
        <w:adjustRightInd w:val="0"/>
        <w:snapToGrid w:val="0"/>
        <w:spacing w:line="360" w:lineRule="auto"/>
        <w:ind w:left="0" w:firstLine="544"/>
        <w:rPr>
          <w:bCs/>
          <w:spacing w:val="-4"/>
          <w:sz w:val="28"/>
          <w:szCs w:val="28"/>
        </w:rPr>
      </w:pPr>
      <w:r>
        <w:rPr>
          <w:rFonts w:hint="eastAsia"/>
          <w:bCs/>
          <w:spacing w:val="-4"/>
          <w:sz w:val="28"/>
          <w:szCs w:val="28"/>
          <w:lang w:eastAsia="zh-CN"/>
        </w:rPr>
        <w:t>《</w:t>
      </w:r>
      <w:r>
        <w:rPr>
          <w:rFonts w:hint="eastAsia"/>
          <w:bCs/>
          <w:spacing w:val="-4"/>
          <w:sz w:val="28"/>
          <w:szCs w:val="28"/>
          <w:lang w:val="en-US" w:eastAsia="zh-CN"/>
        </w:rPr>
        <w:t>钻前工程及井场布置技术要求》SY/T5466-2013</w:t>
      </w:r>
    </w:p>
    <w:p>
      <w:pPr>
        <w:pStyle w:val="125"/>
        <w:numPr>
          <w:ilvl w:val="0"/>
          <w:numId w:val="9"/>
        </w:numPr>
        <w:adjustRightInd w:val="0"/>
        <w:snapToGrid w:val="0"/>
        <w:spacing w:line="360" w:lineRule="auto"/>
        <w:ind w:left="0" w:firstLine="544"/>
        <w:rPr>
          <w:bCs/>
          <w:spacing w:val="-4"/>
          <w:sz w:val="28"/>
          <w:szCs w:val="28"/>
        </w:rPr>
      </w:pPr>
      <w:r>
        <w:rPr>
          <w:rFonts w:hint="eastAsia"/>
          <w:bCs/>
          <w:spacing w:val="-4"/>
          <w:sz w:val="28"/>
          <w:szCs w:val="28"/>
        </w:rPr>
        <w:t>《石油与天然气井井控安全技术考核管理规则》SY5742-20</w:t>
      </w:r>
      <w:r>
        <w:rPr>
          <w:rFonts w:hint="eastAsia"/>
          <w:bCs/>
          <w:spacing w:val="-4"/>
          <w:sz w:val="28"/>
          <w:szCs w:val="28"/>
          <w:lang w:val="en-US" w:eastAsia="zh-CN"/>
        </w:rPr>
        <w:t>19</w:t>
      </w:r>
    </w:p>
    <w:p>
      <w:pPr>
        <w:pStyle w:val="125"/>
        <w:numPr>
          <w:ilvl w:val="0"/>
          <w:numId w:val="9"/>
        </w:numPr>
        <w:adjustRightInd w:val="0"/>
        <w:snapToGrid w:val="0"/>
        <w:spacing w:line="360" w:lineRule="auto"/>
        <w:ind w:firstLineChars="0"/>
        <w:rPr>
          <w:bCs/>
          <w:spacing w:val="-4"/>
          <w:sz w:val="28"/>
          <w:szCs w:val="28"/>
        </w:rPr>
      </w:pPr>
      <w:r>
        <w:rPr>
          <w:rFonts w:hint="eastAsia" w:ascii="Times New Roman" w:hAnsi="Times New Roman" w:cs="Times New Roman"/>
          <w:bCs/>
          <w:smallCaps w:val="0"/>
          <w:sz w:val="28"/>
          <w:szCs w:val="28"/>
          <w:lang w:val="en-US" w:eastAsia="zh-CN"/>
        </w:rPr>
        <w:t>《钻井井场设备作业安全技术规程》SY/T5974-2020</w:t>
      </w:r>
    </w:p>
    <w:p>
      <w:pPr>
        <w:pStyle w:val="125"/>
        <w:numPr>
          <w:ilvl w:val="0"/>
          <w:numId w:val="9"/>
        </w:numPr>
        <w:adjustRightInd w:val="0"/>
        <w:snapToGrid w:val="0"/>
        <w:spacing w:line="360" w:lineRule="auto"/>
        <w:ind w:firstLineChars="0"/>
        <w:rPr>
          <w:bCs/>
          <w:spacing w:val="-4"/>
          <w:sz w:val="28"/>
          <w:szCs w:val="28"/>
        </w:rPr>
      </w:pPr>
      <w:r>
        <w:rPr>
          <w:rFonts w:hint="eastAsia"/>
          <w:bCs/>
          <w:spacing w:val="-4"/>
          <w:sz w:val="28"/>
          <w:szCs w:val="28"/>
        </w:rPr>
        <w:t>《石油天然气工业 健康、安全与环境管理体系》SY/T6276-2014</w:t>
      </w:r>
    </w:p>
    <w:p>
      <w:pPr>
        <w:pStyle w:val="125"/>
        <w:numPr>
          <w:ilvl w:val="0"/>
          <w:numId w:val="9"/>
        </w:numPr>
        <w:adjustRightInd w:val="0"/>
        <w:snapToGrid w:val="0"/>
        <w:spacing w:line="360" w:lineRule="auto"/>
        <w:ind w:firstLineChars="0"/>
        <w:rPr>
          <w:bCs/>
          <w:spacing w:val="-4"/>
          <w:sz w:val="28"/>
          <w:szCs w:val="28"/>
        </w:rPr>
      </w:pPr>
      <w:r>
        <w:rPr>
          <w:rFonts w:ascii="Times New Roman" w:hAnsi="Times New Roman" w:cs="Times New Roman"/>
          <w:bCs/>
          <w:smallCaps w:val="0"/>
          <w:sz w:val="28"/>
          <w:szCs w:val="28"/>
        </w:rPr>
        <w:t>《</w:t>
      </w:r>
      <w:r>
        <w:rPr>
          <w:rFonts w:hint="default" w:ascii="Times New Roman" w:hAnsi="Times New Roman" w:cs="Times New Roman"/>
          <w:bCs/>
          <w:smallCaps w:val="0"/>
          <w:sz w:val="28"/>
          <w:szCs w:val="28"/>
        </w:rPr>
        <w:t>硫化氢环境人身防护规范</w:t>
      </w:r>
      <w:r>
        <w:rPr>
          <w:rFonts w:ascii="Times New Roman" w:hAnsi="Times New Roman" w:cs="Times New Roman"/>
          <w:bCs/>
          <w:smallCaps w:val="0"/>
          <w:sz w:val="28"/>
          <w:szCs w:val="28"/>
        </w:rPr>
        <w:t>》SY/T 6277-2017</w:t>
      </w:r>
    </w:p>
    <w:p>
      <w:pPr>
        <w:pStyle w:val="125"/>
        <w:numPr>
          <w:ilvl w:val="0"/>
          <w:numId w:val="9"/>
        </w:numPr>
        <w:adjustRightInd w:val="0"/>
        <w:snapToGrid w:val="0"/>
        <w:spacing w:line="360" w:lineRule="auto"/>
        <w:ind w:firstLineChars="0"/>
        <w:rPr>
          <w:bCs/>
          <w:spacing w:val="-4"/>
          <w:sz w:val="28"/>
          <w:szCs w:val="28"/>
        </w:rPr>
      </w:pPr>
      <w:r>
        <w:rPr>
          <w:rFonts w:hint="eastAsia"/>
          <w:bCs/>
          <w:spacing w:val="-4"/>
          <w:sz w:val="28"/>
          <w:szCs w:val="28"/>
          <w:lang w:eastAsia="zh-CN"/>
        </w:rPr>
        <w:t>《</w:t>
      </w:r>
      <w:r>
        <w:rPr>
          <w:rFonts w:hint="eastAsia"/>
          <w:bCs/>
          <w:spacing w:val="-4"/>
          <w:sz w:val="28"/>
          <w:szCs w:val="28"/>
          <w:lang w:val="en-US" w:eastAsia="zh-CN"/>
        </w:rPr>
        <w:t>石油天然气生产专用安全标志》SY/T6355-2017</w:t>
      </w:r>
    </w:p>
    <w:p>
      <w:pPr>
        <w:pStyle w:val="125"/>
        <w:numPr>
          <w:ilvl w:val="0"/>
          <w:numId w:val="9"/>
        </w:numPr>
        <w:adjustRightInd w:val="0"/>
        <w:snapToGrid w:val="0"/>
        <w:spacing w:line="360" w:lineRule="auto"/>
        <w:ind w:firstLineChars="0"/>
        <w:rPr>
          <w:bCs/>
          <w:spacing w:val="-4"/>
          <w:sz w:val="28"/>
          <w:szCs w:val="28"/>
        </w:rPr>
      </w:pPr>
      <w:r>
        <w:rPr>
          <w:bCs/>
          <w:spacing w:val="-4"/>
          <w:sz w:val="28"/>
          <w:szCs w:val="28"/>
        </w:rPr>
        <w:t>《石油工业作业场所劳动防护用具配备要求》SY/T6524-2017</w:t>
      </w:r>
    </w:p>
    <w:p>
      <w:pPr>
        <w:pStyle w:val="125"/>
        <w:numPr>
          <w:ilvl w:val="0"/>
          <w:numId w:val="9"/>
        </w:numPr>
        <w:adjustRightInd w:val="0"/>
        <w:snapToGrid w:val="0"/>
        <w:spacing w:line="360" w:lineRule="auto"/>
        <w:ind w:firstLineChars="0"/>
        <w:rPr>
          <w:bCs/>
          <w:spacing w:val="-4"/>
          <w:sz w:val="28"/>
          <w:szCs w:val="28"/>
        </w:rPr>
      </w:pPr>
      <w:r>
        <w:rPr>
          <w:rFonts w:hint="eastAsia"/>
          <w:bCs/>
          <w:spacing w:val="-4"/>
          <w:sz w:val="28"/>
          <w:szCs w:val="28"/>
        </w:rPr>
        <w:t>《</w:t>
      </w:r>
      <w:r>
        <w:rPr>
          <w:rFonts w:hint="eastAsia"/>
          <w:bCs/>
          <w:spacing w:val="-4"/>
          <w:sz w:val="28"/>
          <w:szCs w:val="28"/>
          <w:lang w:val="en-US" w:eastAsia="zh-CN"/>
        </w:rPr>
        <w:t>地层评价随钻测井系统技术条件</w:t>
      </w:r>
      <w:r>
        <w:rPr>
          <w:rFonts w:hint="eastAsia"/>
          <w:bCs/>
          <w:spacing w:val="-4"/>
          <w:sz w:val="28"/>
          <w:szCs w:val="28"/>
        </w:rPr>
        <w:t>》SY/T 6702-20</w:t>
      </w:r>
      <w:r>
        <w:rPr>
          <w:rFonts w:hint="eastAsia"/>
          <w:bCs/>
          <w:spacing w:val="-4"/>
          <w:sz w:val="28"/>
          <w:szCs w:val="28"/>
          <w:lang w:val="en-US" w:eastAsia="zh-CN"/>
        </w:rPr>
        <w:t>19</w:t>
      </w:r>
    </w:p>
    <w:p>
      <w:pPr>
        <w:pStyle w:val="125"/>
        <w:numPr>
          <w:ilvl w:val="0"/>
          <w:numId w:val="9"/>
        </w:numPr>
        <w:adjustRightInd w:val="0"/>
        <w:snapToGrid w:val="0"/>
        <w:spacing w:line="360" w:lineRule="auto"/>
        <w:ind w:left="0" w:firstLine="560"/>
        <w:rPr>
          <w:rFonts w:hint="eastAsia"/>
          <w:sz w:val="28"/>
        </w:rPr>
      </w:pPr>
      <w:r>
        <w:rPr>
          <w:rFonts w:hint="eastAsia"/>
          <w:sz w:val="28"/>
          <w:lang w:eastAsia="zh-CN"/>
        </w:rPr>
        <w:t>《</w:t>
      </w:r>
      <w:r>
        <w:rPr>
          <w:rFonts w:hint="eastAsia"/>
          <w:sz w:val="28"/>
          <w:lang w:val="en-US" w:eastAsia="zh-CN"/>
        </w:rPr>
        <w:t>石油天然气工程项目安全现状评价报告编写规则》SY/T6778-2010</w:t>
      </w:r>
    </w:p>
    <w:p>
      <w:pPr>
        <w:pStyle w:val="125"/>
        <w:numPr>
          <w:ilvl w:val="0"/>
          <w:numId w:val="9"/>
        </w:numPr>
        <w:adjustRightInd w:val="0"/>
        <w:snapToGrid w:val="0"/>
        <w:spacing w:line="360" w:lineRule="auto"/>
        <w:ind w:firstLineChars="0"/>
        <w:rPr>
          <w:bCs/>
          <w:spacing w:val="-4"/>
          <w:sz w:val="28"/>
          <w:szCs w:val="28"/>
        </w:rPr>
      </w:pPr>
      <w:r>
        <w:rPr>
          <w:rFonts w:hint="eastAsia"/>
          <w:bCs/>
          <w:spacing w:val="-4"/>
          <w:sz w:val="28"/>
          <w:szCs w:val="28"/>
          <w:lang w:eastAsia="zh-CN"/>
        </w:rPr>
        <w:t>《</w:t>
      </w:r>
      <w:r>
        <w:rPr>
          <w:rFonts w:hint="eastAsia"/>
          <w:bCs/>
          <w:spacing w:val="-4"/>
          <w:sz w:val="28"/>
          <w:szCs w:val="28"/>
          <w:lang w:val="en-US" w:eastAsia="zh-CN"/>
        </w:rPr>
        <w:t>钻修井井场雷电防护规范》SY/T7386-2017</w:t>
      </w:r>
    </w:p>
    <w:p>
      <w:pPr>
        <w:pStyle w:val="125"/>
        <w:numPr>
          <w:ilvl w:val="0"/>
          <w:numId w:val="9"/>
        </w:numPr>
        <w:adjustRightInd w:val="0"/>
        <w:snapToGrid w:val="0"/>
        <w:spacing w:line="360" w:lineRule="auto"/>
        <w:ind w:firstLineChars="0"/>
        <w:rPr>
          <w:bCs/>
          <w:spacing w:val="-4"/>
          <w:sz w:val="28"/>
          <w:szCs w:val="28"/>
        </w:rPr>
      </w:pPr>
      <w:r>
        <w:rPr>
          <w:rFonts w:hint="eastAsia"/>
          <w:bCs/>
          <w:spacing w:val="-4"/>
          <w:sz w:val="28"/>
          <w:szCs w:val="28"/>
        </w:rPr>
        <w:t>《山东省劳动防护用品配备标准》DB37/1922-2011</w:t>
      </w:r>
    </w:p>
    <w:p>
      <w:pPr>
        <w:pStyle w:val="125"/>
        <w:numPr>
          <w:ilvl w:val="0"/>
          <w:numId w:val="9"/>
        </w:numPr>
        <w:adjustRightInd w:val="0"/>
        <w:snapToGrid w:val="0"/>
        <w:spacing w:line="360" w:lineRule="auto"/>
        <w:ind w:left="0" w:firstLine="544"/>
        <w:rPr>
          <w:bCs/>
          <w:spacing w:val="-4"/>
          <w:sz w:val="28"/>
          <w:szCs w:val="28"/>
        </w:rPr>
      </w:pPr>
      <w:r>
        <w:rPr>
          <w:rFonts w:hint="eastAsia"/>
          <w:bCs/>
          <w:spacing w:val="-4"/>
          <w:sz w:val="28"/>
          <w:szCs w:val="28"/>
        </w:rPr>
        <w:t>《陆上石油和天然气开采企业安全生产风险分级管控体系建设实施指南》</w:t>
      </w:r>
      <w:r>
        <w:rPr>
          <w:bCs/>
          <w:spacing w:val="-4"/>
          <w:sz w:val="28"/>
          <w:szCs w:val="28"/>
        </w:rPr>
        <w:t>DB37/T 3331</w:t>
      </w:r>
      <w:r>
        <w:rPr>
          <w:rFonts w:hint="eastAsia"/>
          <w:bCs/>
          <w:spacing w:val="-4"/>
          <w:sz w:val="28"/>
          <w:szCs w:val="28"/>
        </w:rPr>
        <w:t>-</w:t>
      </w:r>
      <w:r>
        <w:rPr>
          <w:bCs/>
          <w:spacing w:val="-4"/>
          <w:sz w:val="28"/>
          <w:szCs w:val="28"/>
        </w:rPr>
        <w:t>2018</w:t>
      </w:r>
    </w:p>
    <w:p>
      <w:pPr>
        <w:pStyle w:val="125"/>
        <w:numPr>
          <w:ilvl w:val="0"/>
          <w:numId w:val="9"/>
        </w:numPr>
        <w:adjustRightInd w:val="0"/>
        <w:snapToGrid w:val="0"/>
        <w:spacing w:line="360" w:lineRule="auto"/>
        <w:ind w:left="0" w:firstLine="544"/>
        <w:rPr>
          <w:bCs/>
          <w:spacing w:val="-4"/>
          <w:sz w:val="28"/>
          <w:szCs w:val="28"/>
        </w:rPr>
      </w:pPr>
      <w:r>
        <w:rPr>
          <w:rFonts w:hint="eastAsia"/>
          <w:bCs/>
          <w:spacing w:val="-4"/>
          <w:sz w:val="28"/>
          <w:szCs w:val="28"/>
        </w:rPr>
        <w:t xml:space="preserve">《陆上石油和天然气开采企业生产安全事故隐患排查治理体系建设实施指南》DB37/T </w:t>
      </w:r>
      <w:r>
        <w:rPr>
          <w:bCs/>
          <w:spacing w:val="-4"/>
          <w:sz w:val="28"/>
          <w:szCs w:val="28"/>
        </w:rPr>
        <w:t>3332</w:t>
      </w:r>
      <w:r>
        <w:rPr>
          <w:rFonts w:hint="eastAsia"/>
          <w:bCs/>
          <w:spacing w:val="-4"/>
          <w:sz w:val="28"/>
          <w:szCs w:val="28"/>
        </w:rPr>
        <w:t>-201</w:t>
      </w:r>
      <w:r>
        <w:rPr>
          <w:bCs/>
          <w:spacing w:val="-4"/>
          <w:sz w:val="28"/>
          <w:szCs w:val="28"/>
        </w:rPr>
        <w:t>8</w:t>
      </w:r>
    </w:p>
    <w:bookmarkEnd w:id="4"/>
    <w:bookmarkEnd w:id="5"/>
    <w:p>
      <w:pPr>
        <w:pStyle w:val="6"/>
        <w:adjustRightInd w:val="0"/>
        <w:snapToGrid w:val="0"/>
        <w:spacing w:before="0" w:after="0" w:line="360" w:lineRule="auto"/>
        <w:rPr>
          <w:rFonts w:eastAsia="黑体"/>
          <w:b w:val="0"/>
          <w:snapToGrid w:val="0"/>
          <w:kern w:val="0"/>
          <w:sz w:val="28"/>
          <w:szCs w:val="28"/>
        </w:rPr>
      </w:pPr>
      <w:bookmarkStart w:id="6" w:name="_Toc215277129"/>
      <w:r>
        <w:rPr>
          <w:rFonts w:hint="eastAsia" w:eastAsia="黑体"/>
          <w:b w:val="0"/>
          <w:snapToGrid w:val="0"/>
          <w:kern w:val="0"/>
          <w:sz w:val="28"/>
          <w:szCs w:val="28"/>
        </w:rPr>
        <w:t>1.2.</w:t>
      </w:r>
      <w:r>
        <w:rPr>
          <w:rFonts w:eastAsia="黑体"/>
          <w:b w:val="0"/>
          <w:snapToGrid w:val="0"/>
          <w:kern w:val="0"/>
          <w:sz w:val="28"/>
          <w:szCs w:val="28"/>
        </w:rPr>
        <w:t xml:space="preserve">8 </w:t>
      </w:r>
      <w:r>
        <w:rPr>
          <w:rFonts w:hint="eastAsia" w:eastAsia="黑体"/>
          <w:b w:val="0"/>
          <w:snapToGrid w:val="0"/>
          <w:kern w:val="0"/>
          <w:sz w:val="28"/>
          <w:szCs w:val="28"/>
        </w:rPr>
        <w:t>工程有关技术文件</w:t>
      </w:r>
      <w:bookmarkEnd w:id="6"/>
    </w:p>
    <w:p>
      <w:pPr>
        <w:adjustRightInd w:val="0"/>
        <w:snapToGrid w:val="0"/>
        <w:spacing w:line="360" w:lineRule="auto"/>
        <w:ind w:firstLine="560" w:firstLineChars="200"/>
        <w:rPr>
          <w:snapToGrid w:val="0"/>
          <w:kern w:val="0"/>
          <w:sz w:val="28"/>
        </w:rPr>
      </w:pPr>
      <w:r>
        <w:rPr>
          <w:rFonts w:hint="eastAsia"/>
          <w:snapToGrid w:val="0"/>
          <w:kern w:val="0"/>
          <w:sz w:val="28"/>
        </w:rPr>
        <w:t>1</w:t>
      </w:r>
      <w:r>
        <w:rPr>
          <w:rFonts w:hint="eastAsia"/>
          <w:snapToGrid w:val="0"/>
          <w:kern w:val="0"/>
          <w:sz w:val="28"/>
          <w:lang w:val="en-US" w:eastAsia="zh-CN"/>
        </w:rPr>
        <w:t xml:space="preserve">. </w:t>
      </w:r>
      <w:r>
        <w:rPr>
          <w:rFonts w:hint="eastAsia"/>
          <w:sz w:val="28"/>
          <w:szCs w:val="28"/>
          <w:lang w:eastAsia="zh-CN"/>
        </w:rPr>
        <w:t>斯伦贝谢油田技术（山东）有限公司钻井（定向施工）项目</w:t>
      </w:r>
      <w:r>
        <w:rPr>
          <w:rFonts w:hint="eastAsia"/>
          <w:sz w:val="28"/>
          <w:szCs w:val="28"/>
        </w:rPr>
        <w:t>安全现状评价技术服务合同</w:t>
      </w:r>
      <w:r>
        <w:rPr>
          <w:rFonts w:hint="eastAsia"/>
          <w:snapToGrid w:val="0"/>
          <w:kern w:val="0"/>
          <w:sz w:val="28"/>
        </w:rPr>
        <w:t>。</w:t>
      </w:r>
    </w:p>
    <w:p>
      <w:pPr>
        <w:adjustRightInd w:val="0"/>
        <w:snapToGrid w:val="0"/>
        <w:spacing w:line="360" w:lineRule="auto"/>
        <w:ind w:firstLine="560" w:firstLineChars="200"/>
        <w:rPr>
          <w:snapToGrid w:val="0"/>
          <w:kern w:val="0"/>
          <w:sz w:val="28"/>
        </w:rPr>
      </w:pPr>
      <w:r>
        <w:rPr>
          <w:rFonts w:hint="eastAsia"/>
          <w:snapToGrid w:val="0"/>
          <w:kern w:val="0"/>
          <w:sz w:val="28"/>
        </w:rPr>
        <w:t>2</w:t>
      </w:r>
      <w:r>
        <w:rPr>
          <w:rFonts w:hint="eastAsia"/>
          <w:snapToGrid w:val="0"/>
          <w:kern w:val="0"/>
          <w:sz w:val="28"/>
          <w:lang w:val="en-US" w:eastAsia="zh-CN"/>
        </w:rPr>
        <w:t xml:space="preserve">. </w:t>
      </w:r>
      <w:r>
        <w:rPr>
          <w:rFonts w:hint="eastAsia"/>
          <w:sz w:val="28"/>
          <w:szCs w:val="28"/>
          <w:lang w:eastAsia="zh-CN"/>
        </w:rPr>
        <w:t>斯伦贝谢油田技术（山东）有限公司</w:t>
      </w:r>
      <w:r>
        <w:rPr>
          <w:rFonts w:hint="eastAsia"/>
          <w:snapToGrid w:val="0"/>
          <w:kern w:val="0"/>
          <w:sz w:val="28"/>
        </w:rPr>
        <w:t>提供的有关文件、资料。</w:t>
      </w:r>
    </w:p>
    <w:p>
      <w:pPr>
        <w:tabs>
          <w:tab w:val="left" w:pos="6120"/>
        </w:tabs>
        <w:adjustRightInd w:val="0"/>
        <w:snapToGrid w:val="0"/>
        <w:spacing w:line="360" w:lineRule="auto"/>
        <w:ind w:firstLine="560" w:firstLineChars="200"/>
        <w:rPr>
          <w:snapToGrid w:val="0"/>
          <w:kern w:val="0"/>
          <w:sz w:val="28"/>
        </w:rPr>
      </w:pPr>
      <w:r>
        <w:rPr>
          <w:rFonts w:hint="eastAsia"/>
          <w:snapToGrid w:val="0"/>
          <w:kern w:val="0"/>
          <w:sz w:val="28"/>
        </w:rPr>
        <w:t>3</w:t>
      </w:r>
      <w:r>
        <w:rPr>
          <w:rFonts w:hint="eastAsia"/>
          <w:snapToGrid w:val="0"/>
          <w:kern w:val="0"/>
          <w:sz w:val="28"/>
          <w:lang w:val="en-US" w:eastAsia="zh-CN"/>
        </w:rPr>
        <w:t xml:space="preserve">. </w:t>
      </w:r>
      <w:r>
        <w:rPr>
          <w:rFonts w:hint="eastAsia"/>
          <w:snapToGrid w:val="0"/>
          <w:kern w:val="0"/>
          <w:sz w:val="28"/>
        </w:rPr>
        <w:t>其他与该工程安全评价有关的技术资料。</w:t>
      </w:r>
    </w:p>
    <w:p>
      <w:pPr>
        <w:pStyle w:val="4"/>
        <w:adjustRightInd w:val="0"/>
        <w:snapToGrid w:val="0"/>
        <w:spacing w:before="0" w:after="0" w:line="360" w:lineRule="auto"/>
        <w:rPr>
          <w:rFonts w:hint="default" w:ascii="Times New Roman" w:hAnsi="Times New Roman" w:eastAsia="黑体"/>
          <w:b w:val="0"/>
          <w:bCs/>
          <w:szCs w:val="32"/>
          <w:lang w:val="en-US" w:eastAsia="zh-CN"/>
        </w:rPr>
      </w:pPr>
      <w:bookmarkStart w:id="7" w:name="_Toc202759399"/>
      <w:bookmarkStart w:id="8" w:name="_Toc30770"/>
      <w:r>
        <w:rPr>
          <w:rFonts w:hint="eastAsia" w:ascii="Times New Roman" w:hAnsi="Times New Roman"/>
          <w:b w:val="0"/>
          <w:bCs/>
          <w:szCs w:val="32"/>
        </w:rPr>
        <w:t>1.3</w:t>
      </w:r>
      <w:r>
        <w:rPr>
          <w:rFonts w:ascii="Times New Roman" w:hAnsi="Times New Roman"/>
          <w:b w:val="0"/>
          <w:bCs/>
          <w:szCs w:val="32"/>
        </w:rPr>
        <w:t xml:space="preserve"> </w:t>
      </w:r>
      <w:r>
        <w:rPr>
          <w:rFonts w:hint="eastAsia" w:ascii="Times New Roman" w:hAnsi="Times New Roman"/>
          <w:b w:val="0"/>
          <w:bCs/>
          <w:szCs w:val="32"/>
        </w:rPr>
        <w:t>评价范围</w:t>
      </w:r>
      <w:bookmarkEnd w:id="7"/>
      <w:bookmarkEnd w:id="8"/>
    </w:p>
    <w:p>
      <w:pPr>
        <w:adjustRightInd w:val="0"/>
        <w:snapToGrid w:val="0"/>
        <w:spacing w:line="360" w:lineRule="auto"/>
        <w:ind w:firstLine="570"/>
        <w:rPr>
          <w:rFonts w:hint="eastAsia"/>
          <w:sz w:val="28"/>
          <w:szCs w:val="28"/>
        </w:rPr>
      </w:pPr>
      <w:r>
        <w:rPr>
          <w:rFonts w:hint="eastAsia"/>
          <w:color w:val="auto"/>
          <w:sz w:val="28"/>
          <w:szCs w:val="28"/>
          <w:lang w:val="en-US" w:eastAsia="zh-CN"/>
        </w:rPr>
        <w:t>根据该企业石油天然气服务业务情况，并与企业协商确定，本次评价范围为斯伦贝谢油田技术（山东）有限公司钻井（定向施工）项目</w:t>
      </w:r>
      <w:r>
        <w:rPr>
          <w:rFonts w:hint="eastAsia"/>
          <w:b w:val="0"/>
          <w:bCs w:val="0"/>
          <w:color w:val="auto"/>
          <w:sz w:val="28"/>
          <w:szCs w:val="28"/>
          <w:u w:val="none"/>
          <w:lang w:val="en-US" w:eastAsia="zh-CN"/>
        </w:rPr>
        <w:t>（不涉及海上作业）</w:t>
      </w:r>
      <w:r>
        <w:rPr>
          <w:rFonts w:hint="eastAsia"/>
          <w:color w:val="auto"/>
          <w:sz w:val="28"/>
          <w:szCs w:val="28"/>
          <w:lang w:val="en-US" w:eastAsia="zh-CN"/>
        </w:rPr>
        <w:t>施工过程中人员配备、设备设施、作业活动、安全管理等各项安全条件，通</w:t>
      </w:r>
      <w:r>
        <w:rPr>
          <w:rFonts w:hint="eastAsia" w:cs="宋体"/>
          <w:kern w:val="0"/>
          <w:sz w:val="28"/>
          <w:szCs w:val="28"/>
        </w:rPr>
        <w:t>过对危险有害因素和企业现有的安全技术设施的分析，确定公司是否具备从事</w:t>
      </w:r>
      <w:r>
        <w:rPr>
          <w:rFonts w:hint="eastAsia"/>
          <w:sz w:val="28"/>
          <w:szCs w:val="28"/>
          <w:lang w:eastAsia="zh-CN"/>
        </w:rPr>
        <w:t>钻井（定向施工）项目</w:t>
      </w:r>
      <w:r>
        <w:rPr>
          <w:rFonts w:hint="eastAsia" w:cs="宋体"/>
          <w:kern w:val="0"/>
          <w:sz w:val="28"/>
          <w:szCs w:val="28"/>
        </w:rPr>
        <w:t>的各项安全生产条件</w:t>
      </w:r>
      <w:r>
        <w:rPr>
          <w:rFonts w:hint="eastAsia"/>
          <w:sz w:val="28"/>
          <w:szCs w:val="28"/>
        </w:rPr>
        <w:t>。</w:t>
      </w:r>
    </w:p>
    <w:p>
      <w:pPr>
        <w:adjustRightInd w:val="0"/>
        <w:snapToGrid w:val="0"/>
        <w:spacing w:line="360" w:lineRule="auto"/>
        <w:ind w:firstLine="57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具体评价范围如表1</w:t>
      </w:r>
      <w:r>
        <w:rPr>
          <w:rFonts w:hint="eastAsia" w:cs="Times New Roman"/>
          <w:color w:val="auto"/>
          <w:sz w:val="28"/>
          <w:szCs w:val="28"/>
          <w:lang w:val="en-US" w:eastAsia="zh-CN"/>
        </w:rPr>
        <w:t>.3</w:t>
      </w:r>
      <w:r>
        <w:rPr>
          <w:rFonts w:hint="default" w:ascii="Times New Roman" w:hAnsi="Times New Roman" w:cs="Times New Roman"/>
          <w:color w:val="auto"/>
          <w:sz w:val="28"/>
          <w:szCs w:val="28"/>
          <w:lang w:val="en-US" w:eastAsia="zh-CN"/>
        </w:rPr>
        <w:t>-1所示</w:t>
      </w:r>
      <w:r>
        <w:rPr>
          <w:rFonts w:hint="eastAsia" w:cs="Times New Roman"/>
          <w:color w:val="auto"/>
          <w:sz w:val="28"/>
          <w:szCs w:val="28"/>
          <w:lang w:val="en-US" w:eastAsia="zh-CN"/>
        </w:rPr>
        <w:t>：</w:t>
      </w:r>
    </w:p>
    <w:p>
      <w:pPr>
        <w:pStyle w:val="61"/>
        <w:adjustRightInd w:val="0"/>
        <w:snapToGrid w:val="0"/>
        <w:spacing w:line="360" w:lineRule="auto"/>
        <w:ind w:firstLine="0" w:firstLineChars="0"/>
        <w:jc w:val="center"/>
        <w:rPr>
          <w:rFonts w:hint="default" w:ascii="Times New Roman" w:hAnsi="Times New Roman" w:cs="Times New Roman"/>
          <w:b/>
          <w:bCs/>
          <w:color w:val="auto"/>
          <w:sz w:val="24"/>
          <w:szCs w:val="24"/>
          <w:u w:val="none"/>
          <w:lang w:eastAsia="zh-CN"/>
        </w:rPr>
      </w:pPr>
      <w:r>
        <w:rPr>
          <w:rFonts w:hint="default" w:ascii="Times New Roman" w:hAnsi="Times New Roman" w:cs="Times New Roman"/>
          <w:b/>
          <w:bCs/>
          <w:color w:val="auto"/>
          <w:sz w:val="24"/>
          <w:szCs w:val="24"/>
          <w:u w:val="none"/>
        </w:rPr>
        <w:t>表</w:t>
      </w:r>
      <w:r>
        <w:rPr>
          <w:rFonts w:hint="default" w:ascii="Times New Roman" w:hAnsi="Times New Roman" w:cs="Times New Roman"/>
          <w:b/>
          <w:bCs/>
          <w:color w:val="auto"/>
          <w:sz w:val="24"/>
          <w:szCs w:val="24"/>
          <w:u w:val="none"/>
          <w:lang w:val="en-US" w:eastAsia="zh-CN"/>
        </w:rPr>
        <w:t>1</w:t>
      </w:r>
      <w:r>
        <w:rPr>
          <w:rFonts w:hint="eastAsia" w:cs="Times New Roman"/>
          <w:b/>
          <w:bCs/>
          <w:color w:val="auto"/>
          <w:sz w:val="24"/>
          <w:szCs w:val="24"/>
          <w:u w:val="none"/>
          <w:lang w:val="en-US" w:eastAsia="zh-CN"/>
        </w:rPr>
        <w:t>.3</w:t>
      </w:r>
      <w:r>
        <w:rPr>
          <w:rFonts w:hint="default" w:ascii="Times New Roman" w:hAnsi="Times New Roman" w:cs="Times New Roman"/>
          <w:b/>
          <w:bCs/>
          <w:color w:val="auto"/>
          <w:sz w:val="24"/>
          <w:szCs w:val="24"/>
          <w:u w:val="none"/>
        </w:rPr>
        <w:t>-1</w:t>
      </w:r>
      <w:r>
        <w:rPr>
          <w:rFonts w:hint="default" w:ascii="Times New Roman" w:hAnsi="Times New Roman" w:cs="Times New Roman"/>
          <w:b/>
          <w:bCs/>
          <w:color w:val="auto"/>
          <w:sz w:val="24"/>
          <w:szCs w:val="24"/>
          <w:u w:val="none"/>
          <w:lang w:val="en-US" w:eastAsia="zh-CN"/>
        </w:rPr>
        <w:t>评价范围</w:t>
      </w:r>
      <w:r>
        <w:rPr>
          <w:rFonts w:hint="default" w:ascii="Times New Roman" w:hAnsi="Times New Roman" w:cs="Times New Roman"/>
          <w:b/>
          <w:bCs/>
          <w:color w:val="auto"/>
          <w:sz w:val="24"/>
          <w:szCs w:val="24"/>
          <w:u w:val="none"/>
        </w:rPr>
        <w:t>一览表</w:t>
      </w:r>
    </w:p>
    <w:tbl>
      <w:tblPr>
        <w:tblStyle w:val="5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1"/>
        <w:gridCol w:w="1399"/>
        <w:gridCol w:w="4337"/>
        <w:gridCol w:w="1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9"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color w:val="auto"/>
                <w:kern w:val="0"/>
                <w:szCs w:val="21"/>
                <w:lang w:val="en-US" w:eastAsia="zh-CN"/>
              </w:rPr>
            </w:pPr>
            <w:r>
              <w:rPr>
                <w:rFonts w:hint="default" w:ascii="Times New Roman" w:hAnsi="Times New Roman" w:cs="Times New Roman"/>
                <w:b/>
                <w:color w:val="auto"/>
                <w:kern w:val="0"/>
                <w:szCs w:val="21"/>
                <w:lang w:val="en-US" w:eastAsia="zh-CN"/>
              </w:rPr>
              <w:t>项目类型</w:t>
            </w:r>
          </w:p>
        </w:tc>
        <w:tc>
          <w:tcPr>
            <w:tcW w:w="3366" w:type="pct"/>
            <w:gridSpan w:val="2"/>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color w:val="auto"/>
                <w:kern w:val="0"/>
                <w:szCs w:val="21"/>
                <w:lang w:val="en-US" w:eastAsia="zh-CN"/>
              </w:rPr>
            </w:pPr>
            <w:r>
              <w:rPr>
                <w:rFonts w:hint="eastAsia" w:ascii="Times New Roman" w:hAnsi="Times New Roman" w:cs="Times New Roman"/>
                <w:b/>
                <w:color w:val="auto"/>
                <w:kern w:val="0"/>
                <w:szCs w:val="21"/>
                <w:lang w:val="en-US" w:eastAsia="zh-CN"/>
              </w:rPr>
              <w:t>具体内容</w:t>
            </w:r>
          </w:p>
        </w:tc>
        <w:tc>
          <w:tcPr>
            <w:tcW w:w="764"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color w:val="auto"/>
                <w:kern w:val="0"/>
                <w:szCs w:val="21"/>
                <w:lang w:val="en-US" w:eastAsia="zh-CN"/>
              </w:rPr>
            </w:pPr>
            <w:r>
              <w:rPr>
                <w:rFonts w:hint="default" w:ascii="Times New Roman" w:hAnsi="Times New Roman" w:cs="Times New Roman"/>
                <w:b/>
                <w:color w:val="auto"/>
                <w:kern w:val="0"/>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9"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石油天然气服务业务</w:t>
            </w:r>
          </w:p>
        </w:tc>
        <w:tc>
          <w:tcPr>
            <w:tcW w:w="3366" w:type="pct"/>
            <w:gridSpan w:val="2"/>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钻井</w:t>
            </w:r>
            <w:r>
              <w:rPr>
                <w:rFonts w:hint="eastAsia" w:ascii="Times New Roman" w:hAnsi="Times New Roman" w:eastAsia="宋体" w:cs="Times New Roman"/>
                <w:color w:val="auto"/>
                <w:szCs w:val="21"/>
                <w:lang w:eastAsia="zh-CN"/>
              </w:rPr>
              <w:t>（</w:t>
            </w:r>
            <w:r>
              <w:rPr>
                <w:rFonts w:hint="eastAsia" w:cs="Times New Roman"/>
                <w:color w:val="auto"/>
                <w:szCs w:val="21"/>
                <w:lang w:val="en-US" w:eastAsia="zh-CN"/>
              </w:rPr>
              <w:t>定向施工</w:t>
            </w:r>
            <w:r>
              <w:rPr>
                <w:rFonts w:hint="eastAsia" w:ascii="Times New Roman" w:hAnsi="Times New Roman" w:eastAsia="宋体" w:cs="Times New Roman"/>
                <w:color w:val="auto"/>
                <w:szCs w:val="21"/>
                <w:lang w:eastAsia="zh-CN"/>
              </w:rPr>
              <w:t>）</w:t>
            </w:r>
          </w:p>
        </w:tc>
        <w:tc>
          <w:tcPr>
            <w:tcW w:w="764" w:type="pct"/>
            <w:tcBorders>
              <w:tl2br w:val="nil"/>
              <w:tr2bl w:val="nil"/>
            </w:tcBorders>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组织机构</w:t>
            </w:r>
          </w:p>
        </w:tc>
        <w:tc>
          <w:tcPr>
            <w:tcW w:w="3366" w:type="pct"/>
            <w:gridSpan w:val="2"/>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olor w:val="auto"/>
                <w:lang w:val="en-US" w:eastAsia="zh-CN"/>
              </w:rPr>
              <w:t>公司领导层、管理部门（</w:t>
            </w:r>
            <w:r>
              <w:rPr>
                <w:rFonts w:hint="eastAsia" w:cs="Times New Roman"/>
                <w:color w:val="auto"/>
                <w:szCs w:val="21"/>
                <w:lang w:val="en-US" w:eastAsia="zh-CN"/>
              </w:rPr>
              <w:t>行政部、安全部、作业部、财务部等）以及各项目部</w:t>
            </w:r>
          </w:p>
        </w:tc>
        <w:tc>
          <w:tcPr>
            <w:tcW w:w="76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color w:val="auto"/>
                <w:szCs w:val="21"/>
                <w:lang w:val="en-US" w:eastAsia="zh-CN"/>
              </w:rPr>
              <w:t>其中</w:t>
            </w:r>
            <w:r>
              <w:rPr>
                <w:rFonts w:hint="eastAsia" w:ascii="Times New Roman" w:hAnsi="Times New Roman" w:eastAsia="宋体" w:cs="Times New Roman"/>
                <w:color w:val="auto"/>
                <w:szCs w:val="21"/>
                <w:lang w:val="en-US" w:eastAsia="zh-CN"/>
              </w:rPr>
              <w:t>共</w:t>
            </w:r>
            <w:r>
              <w:rPr>
                <w:rFonts w:hint="eastAsia" w:cs="Times New Roman"/>
                <w:color w:val="auto"/>
                <w:szCs w:val="21"/>
                <w:lang w:val="en-US" w:eastAsia="zh-CN"/>
              </w:rPr>
              <w:t>包括</w:t>
            </w:r>
            <w:r>
              <w:rPr>
                <w:rFonts w:hint="eastAsia" w:ascii="Times New Roman" w:hAnsi="Times New Roman" w:eastAsia="宋体" w:cs="Times New Roman"/>
                <w:color w:val="auto"/>
                <w:szCs w:val="21"/>
                <w:lang w:val="en-US" w:eastAsia="zh-CN"/>
              </w:rPr>
              <w:t>7</w:t>
            </w:r>
            <w:r>
              <w:rPr>
                <w:rFonts w:hint="eastAsia" w:cs="Times New Roman"/>
                <w:color w:val="auto"/>
                <w:szCs w:val="21"/>
                <w:lang w:val="en-US" w:eastAsia="zh-CN"/>
              </w:rPr>
              <w:t>个项目部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869" w:type="pct"/>
            <w:vMerge w:val="restar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作业区域</w:t>
            </w:r>
          </w:p>
        </w:tc>
        <w:tc>
          <w:tcPr>
            <w:tcW w:w="821" w:type="pct"/>
            <w:tcBorders>
              <w:tl2br w:val="nil"/>
              <w:tr2bl w:val="nil"/>
            </w:tcBorders>
            <w:shd w:val="clear" w:color="auto" w:fill="FFFFFF"/>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大庆项目部</w:t>
            </w:r>
          </w:p>
        </w:tc>
        <w:tc>
          <w:tcPr>
            <w:tcW w:w="2545" w:type="pct"/>
            <w:tcBorders>
              <w:tl2br w:val="nil"/>
              <w:tr2bl w:val="nil"/>
            </w:tcBorders>
            <w:shd w:val="clear" w:color="auto" w:fill="FFFFFF"/>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lang w:val="en-US" w:eastAsia="zh-CN"/>
              </w:rPr>
              <w:t>项目部位于黑龙江省大庆市龙凤区开发区，服务区块包括大庆油田、吉林油田、东北油气田。</w:t>
            </w:r>
          </w:p>
        </w:tc>
        <w:tc>
          <w:tcPr>
            <w:tcW w:w="764" w:type="pct"/>
            <w:vMerge w:val="restar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869"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p>
        </w:tc>
        <w:tc>
          <w:tcPr>
            <w:tcW w:w="821" w:type="pct"/>
            <w:tcBorders>
              <w:tl2br w:val="nil"/>
              <w:tr2bl w:val="nil"/>
            </w:tcBorders>
            <w:shd w:val="clear" w:color="auto" w:fill="FFFFFF"/>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冀东项目部</w:t>
            </w:r>
          </w:p>
        </w:tc>
        <w:tc>
          <w:tcPr>
            <w:tcW w:w="2545" w:type="pct"/>
            <w:tcBorders>
              <w:tl2br w:val="nil"/>
              <w:tr2bl w:val="nil"/>
            </w:tcBorders>
            <w:shd w:val="clear" w:color="auto" w:fill="FFFFFF"/>
            <w:noWrap w:val="0"/>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lang w:val="en-US" w:eastAsia="zh-CN"/>
              </w:rPr>
              <w:t>项目部位于河北省唐山市以及辽宁省盘锦市，</w:t>
            </w:r>
            <w:r>
              <w:rPr>
                <w:rFonts w:hint="eastAsia" w:eastAsia="宋体" w:cs="Times New Roman"/>
                <w:color w:val="auto"/>
                <w:lang w:val="en-US" w:eastAsia="zh-CN"/>
              </w:rPr>
              <w:t>服务区块包括</w:t>
            </w:r>
            <w:r>
              <w:rPr>
                <w:rFonts w:hint="eastAsia" w:ascii="Times New Roman" w:hAnsi="Times New Roman" w:eastAsia="宋体" w:cs="Times New Roman"/>
                <w:color w:val="auto"/>
                <w:lang w:val="en-US" w:eastAsia="zh-CN"/>
              </w:rPr>
              <w:t>冀东油田全部区块（高尚堡、老爷庙、柳赞、南堡、唐南）以及辽河油田服务区块（盘锦、沈阳、锦州、鞍山等）。</w:t>
            </w:r>
          </w:p>
        </w:tc>
        <w:tc>
          <w:tcPr>
            <w:tcW w:w="764"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869"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p>
        </w:tc>
        <w:tc>
          <w:tcPr>
            <w:tcW w:w="821" w:type="pct"/>
            <w:tcBorders>
              <w:tl2br w:val="nil"/>
              <w:tr2bl w:val="nil"/>
            </w:tcBorders>
            <w:shd w:val="clear" w:color="auto" w:fill="FFFFFF"/>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长庆项目部</w:t>
            </w:r>
          </w:p>
        </w:tc>
        <w:tc>
          <w:tcPr>
            <w:tcW w:w="2545" w:type="pct"/>
            <w:tcBorders>
              <w:tl2br w:val="nil"/>
              <w:tr2bl w:val="nil"/>
            </w:tcBorders>
            <w:shd w:val="clear" w:color="auto" w:fill="FFFFFF"/>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both"/>
              <w:rPr>
                <w:rFonts w:hint="default" w:ascii="Times New Roman" w:hAnsi="Times New Roman" w:eastAsia="宋体" w:cs="Times New Roman"/>
                <w:color w:val="auto"/>
                <w:szCs w:val="21"/>
                <w:lang w:val="en-US" w:eastAsia="zh-CN"/>
              </w:rPr>
            </w:pPr>
            <w:r>
              <w:rPr>
                <w:rFonts w:hint="eastAsia" w:eastAsia="宋体" w:cs="Times New Roman"/>
                <w:color w:val="auto"/>
                <w:lang w:val="en-US" w:eastAsia="zh-CN"/>
              </w:rPr>
              <w:t>项目部位于陕西省子长市以及山西省晋城市，服务区域包括陕西、甘肃、山西、内蒙等。</w:t>
            </w:r>
          </w:p>
        </w:tc>
        <w:tc>
          <w:tcPr>
            <w:tcW w:w="764"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869"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p>
        </w:tc>
        <w:tc>
          <w:tcPr>
            <w:tcW w:w="821" w:type="pct"/>
            <w:tcBorders>
              <w:tl2br w:val="nil"/>
              <w:tr2bl w:val="nil"/>
            </w:tcBorders>
            <w:shd w:val="clear" w:color="auto" w:fill="FFFFFF"/>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西南项目部</w:t>
            </w:r>
          </w:p>
        </w:tc>
        <w:tc>
          <w:tcPr>
            <w:tcW w:w="2545" w:type="pct"/>
            <w:tcBorders>
              <w:tl2br w:val="nil"/>
              <w:tr2bl w:val="nil"/>
            </w:tcBorders>
            <w:shd w:val="clear" w:color="auto" w:fill="FFFFFF"/>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both"/>
              <w:rPr>
                <w:rFonts w:hint="default" w:ascii="Times New Roman" w:hAnsi="Times New Roman" w:eastAsia="宋体" w:cs="Times New Roman"/>
                <w:color w:val="auto"/>
                <w:szCs w:val="21"/>
                <w:lang w:val="en-US" w:eastAsia="zh-CN"/>
              </w:rPr>
            </w:pPr>
            <w:r>
              <w:rPr>
                <w:rFonts w:hint="eastAsia" w:eastAsia="宋体" w:cs="Times New Roman"/>
                <w:color w:val="auto"/>
                <w:lang w:val="en-US" w:eastAsia="zh-CN"/>
              </w:rPr>
              <w:t>项目部位于四川省德阳市，服务区域包括四川、重庆、云南、贵州、广西、湖北、江苏等。</w:t>
            </w:r>
          </w:p>
        </w:tc>
        <w:tc>
          <w:tcPr>
            <w:tcW w:w="764"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4" w:hRule="atLeast"/>
          <w:jc w:val="center"/>
        </w:trPr>
        <w:tc>
          <w:tcPr>
            <w:tcW w:w="869"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p>
        </w:tc>
        <w:tc>
          <w:tcPr>
            <w:tcW w:w="821" w:type="pct"/>
            <w:tcBorders>
              <w:tl2br w:val="nil"/>
              <w:tr2bl w:val="nil"/>
            </w:tcBorders>
            <w:shd w:val="clear" w:color="auto" w:fill="FFFFFF"/>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青海项目部</w:t>
            </w:r>
          </w:p>
        </w:tc>
        <w:tc>
          <w:tcPr>
            <w:tcW w:w="2545" w:type="pct"/>
            <w:tcBorders>
              <w:tl2br w:val="nil"/>
              <w:tr2bl w:val="nil"/>
            </w:tcBorders>
            <w:shd w:val="clear" w:color="auto" w:fill="FFFFFF"/>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both"/>
              <w:rPr>
                <w:rFonts w:hint="default" w:ascii="Times New Roman" w:hAnsi="Times New Roman" w:eastAsia="宋体" w:cs="Times New Roman"/>
                <w:color w:val="auto"/>
                <w:szCs w:val="21"/>
                <w:lang w:val="en-US" w:eastAsia="zh-CN"/>
              </w:rPr>
            </w:pPr>
            <w:r>
              <w:rPr>
                <w:rFonts w:hint="eastAsia" w:eastAsia="宋体" w:cs="Times New Roman"/>
                <w:color w:val="auto"/>
                <w:lang w:val="en-US" w:eastAsia="zh-CN"/>
              </w:rPr>
              <w:t>项目部位于青海省海西州芒崖市，服务区块包括青海油田所属区域（芒崖市和格尔木市）。</w:t>
            </w:r>
          </w:p>
        </w:tc>
        <w:tc>
          <w:tcPr>
            <w:tcW w:w="764"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center"/>
        </w:trPr>
        <w:tc>
          <w:tcPr>
            <w:tcW w:w="869"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p>
        </w:tc>
        <w:tc>
          <w:tcPr>
            <w:tcW w:w="821" w:type="pct"/>
            <w:tcBorders>
              <w:tl2br w:val="nil"/>
              <w:tr2bl w:val="nil"/>
            </w:tcBorders>
            <w:shd w:val="clear" w:color="auto" w:fill="FFFFFF"/>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吐哈项目部</w:t>
            </w:r>
          </w:p>
        </w:tc>
        <w:tc>
          <w:tcPr>
            <w:tcW w:w="2545" w:type="pct"/>
            <w:tcBorders>
              <w:tl2br w:val="nil"/>
              <w:tr2bl w:val="nil"/>
            </w:tcBorders>
            <w:shd w:val="clear" w:color="auto" w:fill="FFFFFF"/>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lang w:val="en-US" w:eastAsia="zh-CN"/>
              </w:rPr>
              <w:t>项目部位于新疆维吾尔自治区吐鲁番市，服务区快包括吐哈油田区块、三塘湖区块、吉木萨尔页岩油区块、克拉玛依区块。</w:t>
            </w:r>
          </w:p>
        </w:tc>
        <w:tc>
          <w:tcPr>
            <w:tcW w:w="764"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869"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p>
        </w:tc>
        <w:tc>
          <w:tcPr>
            <w:tcW w:w="821" w:type="pct"/>
            <w:tcBorders>
              <w:tl2br w:val="nil"/>
              <w:tr2bl w:val="nil"/>
            </w:tcBorders>
            <w:shd w:val="clear" w:color="auto" w:fill="FFFFFF"/>
            <w:noWrap w:val="0"/>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西北局项目部</w:t>
            </w:r>
          </w:p>
        </w:tc>
        <w:tc>
          <w:tcPr>
            <w:tcW w:w="2545" w:type="pct"/>
            <w:tcBorders>
              <w:tl2br w:val="nil"/>
              <w:tr2bl w:val="nil"/>
            </w:tcBorders>
            <w:shd w:val="clear" w:color="auto" w:fill="FFFFFF"/>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lang w:val="en-US" w:eastAsia="zh-CN"/>
              </w:rPr>
              <w:t>项目部位于新疆巴音郭楞蒙古自治州轮台县，服务区块包括中石化塔河、中石油塔指山前、富满、顺北等油区。</w:t>
            </w:r>
          </w:p>
        </w:tc>
        <w:tc>
          <w:tcPr>
            <w:tcW w:w="764" w:type="pct"/>
            <w:vMerge w:val="continue"/>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主要作业流程</w:t>
            </w:r>
          </w:p>
        </w:tc>
        <w:tc>
          <w:tcPr>
            <w:tcW w:w="3366" w:type="pct"/>
            <w:gridSpan w:val="2"/>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根据井场信息配备设备，</w:t>
            </w:r>
            <w:r>
              <w:rPr>
                <w:rFonts w:hint="default" w:ascii="Times New Roman" w:hAnsi="Times New Roman" w:cs="Times New Roman"/>
                <w:color w:val="auto"/>
                <w:szCs w:val="21"/>
                <w:lang w:val="en-US" w:eastAsia="zh-CN"/>
              </w:rPr>
              <w:t>人员、设备、材料进入井场；现场</w:t>
            </w:r>
            <w:r>
              <w:rPr>
                <w:rFonts w:hint="eastAsia" w:cs="Times New Roman"/>
                <w:color w:val="auto"/>
                <w:szCs w:val="21"/>
                <w:lang w:val="en-US" w:eastAsia="zh-CN"/>
              </w:rPr>
              <w:t>安装、调试设备进行测量</w:t>
            </w:r>
            <w:r>
              <w:rPr>
                <w:rFonts w:hint="default" w:ascii="Times New Roman" w:hAnsi="Times New Roman" w:cs="Times New Roman"/>
                <w:color w:val="auto"/>
                <w:szCs w:val="21"/>
                <w:lang w:val="en-US" w:eastAsia="zh-CN"/>
              </w:rPr>
              <w:t>作业；离场</w:t>
            </w:r>
          </w:p>
        </w:tc>
        <w:tc>
          <w:tcPr>
            <w:tcW w:w="76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cs="Times New Roman"/>
                <w:color w:val="auto"/>
                <w:szCs w:val="21"/>
                <w:lang w:val="en-US" w:eastAsia="zh-CN"/>
              </w:rPr>
              <w:t>详细作业流程见报告第2.3.2节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9"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主要设备设施</w:t>
            </w:r>
          </w:p>
        </w:tc>
        <w:tc>
          <w:tcPr>
            <w:tcW w:w="3366" w:type="pct"/>
            <w:gridSpan w:val="2"/>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LWD地质导向仪器</w:t>
            </w:r>
            <w:r>
              <w:rPr>
                <w:rFonts w:hint="eastAsia" w:cs="Times New Roman"/>
                <w:i w:val="0"/>
                <w:iCs w:val="0"/>
                <w:color w:val="auto"/>
                <w:kern w:val="0"/>
                <w:sz w:val="21"/>
                <w:szCs w:val="21"/>
                <w:u w:val="none"/>
                <w:lang w:val="en-US" w:eastAsia="zh-CN" w:bidi="ar"/>
              </w:rPr>
              <w:t xml:space="preserve">、无磁钻铤、MWD无线随钻测斜仪器、电子单多点测斜仪器等 </w:t>
            </w:r>
          </w:p>
        </w:tc>
        <w:tc>
          <w:tcPr>
            <w:tcW w:w="764" w:type="pct"/>
            <w:tcBorders>
              <w:tl2br w:val="nil"/>
              <w:tr2bl w:val="nil"/>
            </w:tcBorders>
            <w:shd w:val="clear" w:color="auto" w:fill="FFFFFF"/>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详细设备设施情况见2.3.3节</w:t>
            </w:r>
          </w:p>
        </w:tc>
      </w:tr>
    </w:tbl>
    <w:p>
      <w:pPr>
        <w:pStyle w:val="61"/>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cs="Times New Roman"/>
          <w:b/>
          <w:bCs/>
          <w:color w:val="auto"/>
          <w:sz w:val="24"/>
          <w:szCs w:val="24"/>
          <w:u w:val="none"/>
          <w:lang w:eastAsia="zh-CN"/>
        </w:rPr>
      </w:pPr>
      <w:r>
        <w:rPr>
          <w:rFonts w:hint="default" w:ascii="Times New Roman" w:hAnsi="Times New Roman" w:cs="Times New Roman"/>
          <w:b/>
          <w:bCs/>
          <w:color w:val="auto"/>
          <w:sz w:val="24"/>
          <w:szCs w:val="24"/>
          <w:u w:val="none"/>
        </w:rPr>
        <w:t>表</w:t>
      </w:r>
      <w:r>
        <w:rPr>
          <w:rFonts w:hint="default" w:ascii="Times New Roman" w:hAnsi="Times New Roman" w:cs="Times New Roman"/>
          <w:b/>
          <w:bCs/>
          <w:color w:val="auto"/>
          <w:sz w:val="24"/>
          <w:szCs w:val="24"/>
          <w:u w:val="none"/>
          <w:lang w:val="en-US" w:eastAsia="zh-CN"/>
        </w:rPr>
        <w:t>1</w:t>
      </w:r>
      <w:r>
        <w:rPr>
          <w:rFonts w:hint="eastAsia" w:cs="Times New Roman"/>
          <w:b/>
          <w:bCs/>
          <w:color w:val="auto"/>
          <w:sz w:val="24"/>
          <w:szCs w:val="24"/>
          <w:u w:val="none"/>
          <w:lang w:val="en-US" w:eastAsia="zh-CN"/>
        </w:rPr>
        <w:t>.3</w:t>
      </w:r>
      <w:r>
        <w:rPr>
          <w:rFonts w:hint="default" w:ascii="Times New Roman" w:hAnsi="Times New Roman" w:cs="Times New Roman"/>
          <w:b/>
          <w:bCs/>
          <w:color w:val="auto"/>
          <w:sz w:val="24"/>
          <w:szCs w:val="24"/>
          <w:u w:val="none"/>
        </w:rPr>
        <w:t>-</w:t>
      </w:r>
      <w:r>
        <w:rPr>
          <w:rFonts w:hint="eastAsia" w:cs="Times New Roman"/>
          <w:b/>
          <w:bCs/>
          <w:color w:val="auto"/>
          <w:sz w:val="24"/>
          <w:szCs w:val="24"/>
          <w:u w:val="none"/>
          <w:lang w:val="en-US" w:eastAsia="zh-CN"/>
        </w:rPr>
        <w:t>2企业人员情况</w:t>
      </w:r>
      <w:r>
        <w:rPr>
          <w:rFonts w:hint="default" w:ascii="Times New Roman" w:hAnsi="Times New Roman" w:cs="Times New Roman"/>
          <w:b/>
          <w:bCs/>
          <w:color w:val="auto"/>
          <w:sz w:val="24"/>
          <w:szCs w:val="24"/>
          <w:u w:val="none"/>
        </w:rPr>
        <w:t>一览表</w:t>
      </w:r>
    </w:p>
    <w:tbl>
      <w:tblPr>
        <w:tblStyle w:val="52"/>
        <w:tblW w:w="505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310"/>
        <w:gridCol w:w="610"/>
        <w:gridCol w:w="1210"/>
        <w:gridCol w:w="1080"/>
        <w:gridCol w:w="960"/>
        <w:gridCol w:w="710"/>
        <w:gridCol w:w="1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5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cs="Times New Roman"/>
                <w:b/>
                <w:kern w:val="0"/>
                <w:sz w:val="21"/>
                <w:szCs w:val="21"/>
              </w:rPr>
              <w:t>生产经营活动类型</w:t>
            </w: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涉及部门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人数</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涉及的特种设备</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特种设备操作人员</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特种作业人员</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危险作业</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kern w:val="0"/>
                <w:sz w:val="21"/>
                <w:szCs w:val="21"/>
              </w:rPr>
            </w:pPr>
            <w:r>
              <w:rPr>
                <w:rFonts w:hint="default" w:ascii="Times New Roman" w:hAnsi="Times New Roman" w:cs="Times New Roman"/>
                <w:b/>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vMerge w:val="restar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后勤管理</w:t>
            </w: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管理层</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vMerge w:val="continue"/>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财务部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vMerge w:val="continue"/>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采购部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vMerge w:val="continue"/>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人事部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vMerge w:val="continue"/>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安全部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highlight w:val="yellow"/>
              </w:rPr>
            </w:pPr>
            <w:r>
              <w:rPr>
                <w:rFonts w:hint="default" w:ascii="Times New Roman" w:hAnsi="Times New Roman" w:eastAsia="宋体" w:cs="Times New Roman"/>
                <w:sz w:val="21"/>
                <w:szCs w:val="21"/>
              </w:rPr>
              <w:t>4</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vMerge w:val="continue"/>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行政部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仪器研发、制造、检验、存储</w:t>
            </w: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仪器制造部</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科研部、生产部、库房、质检）</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市场及销售</w:t>
            </w: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市场部、销售部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sz w:val="21"/>
                <w:szCs w:val="21"/>
              </w:rPr>
            </w:pPr>
            <w:r>
              <w:rPr>
                <w:rFonts w:hint="eastAsia" w:cs="Times New Roman"/>
                <w:b w:val="0"/>
                <w:bCs w:val="0"/>
                <w:sz w:val="21"/>
                <w:szCs w:val="21"/>
                <w:lang w:val="en-US" w:eastAsia="zh-CN"/>
              </w:rPr>
              <w:t>钻井（定向施工）</w:t>
            </w:r>
            <w:r>
              <w:rPr>
                <w:rFonts w:hint="default" w:ascii="Times New Roman" w:hAnsi="Times New Roman" w:eastAsia="宋体" w:cs="Times New Roman"/>
                <w:b w:val="0"/>
                <w:bCs w:val="0"/>
                <w:sz w:val="21"/>
                <w:szCs w:val="21"/>
              </w:rPr>
              <w:t>作业</w:t>
            </w: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项目部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142</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无</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无</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both"/>
              <w:rPr>
                <w:rFonts w:hint="default" w:ascii="Times New Roman" w:hAnsi="Times New Roman" w:eastAsia="宋体" w:cs="Times New Roman"/>
                <w:b w:val="0"/>
                <w:bCs w:val="0"/>
                <w:sz w:val="21"/>
                <w:szCs w:val="21"/>
                <w:lang w:val="en-US" w:eastAsia="zh-CN"/>
              </w:rPr>
            </w:pPr>
            <w:r>
              <w:rPr>
                <w:rFonts w:hint="eastAsia" w:cs="Times New Roman"/>
                <w:b w:val="0"/>
                <w:bCs w:val="0"/>
                <w:sz w:val="18"/>
                <w:szCs w:val="18"/>
                <w:lang w:val="en-US" w:eastAsia="zh-CN"/>
              </w:rPr>
              <w:t>其中43名员工已外派至斯伦贝谢科技服务（成都）有限公司开展工作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eastAsia" w:cs="Times New Roman"/>
                <w:color w:val="000000" w:themeColor="text1"/>
                <w:sz w:val="21"/>
                <w:szCs w:val="21"/>
                <w:lang w:val="en-US" w:eastAsia="zh-CN"/>
                <w14:textFill>
                  <w14:solidFill>
                    <w14:schemeClr w14:val="tx1"/>
                  </w14:solidFill>
                </w14:textFill>
              </w:rPr>
              <w:t>技术</w:t>
            </w:r>
            <w:r>
              <w:rPr>
                <w:rFonts w:hint="default" w:ascii="Times New Roman" w:hAnsi="Times New Roman" w:eastAsia="宋体" w:cs="Times New Roman"/>
                <w:color w:val="000000" w:themeColor="text1"/>
                <w:sz w:val="21"/>
                <w:szCs w:val="21"/>
                <w14:textFill>
                  <w14:solidFill>
                    <w14:schemeClr w14:val="tx1"/>
                  </w14:solidFill>
                </w14:textFill>
              </w:rPr>
              <w:t>支持、</w:t>
            </w:r>
            <w:r>
              <w:rPr>
                <w:rFonts w:hint="default" w:ascii="Times New Roman" w:hAnsi="Times New Roman" w:eastAsia="宋体" w:cs="Times New Roman"/>
                <w:sz w:val="21"/>
                <w:szCs w:val="21"/>
              </w:rPr>
              <w:t>仪器维修</w:t>
            </w: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作业部</w:t>
            </w: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1辆3.5t叉车，1个3t行吊，1个5t行吊</w:t>
            </w: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2名叉车司机，4名行吊作业人员</w:t>
            </w: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w:t>
            </w: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c>
          <w:tcPr>
            <w:tcW w:w="633"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5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760"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354"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w:t>
            </w:r>
          </w:p>
        </w:tc>
        <w:tc>
          <w:tcPr>
            <w:tcW w:w="70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both"/>
              <w:rPr>
                <w:rFonts w:hint="eastAsia" w:ascii="Times New Roman" w:hAnsi="Times New Roman" w:eastAsia="宋体" w:cs="Times New Roman"/>
                <w:sz w:val="21"/>
                <w:szCs w:val="21"/>
                <w:lang w:val="en-US" w:eastAsia="zh-CN"/>
              </w:rPr>
            </w:pPr>
          </w:p>
        </w:tc>
        <w:tc>
          <w:tcPr>
            <w:tcW w:w="62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557"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412" w:type="pct"/>
            <w:tcBorders>
              <w:tl2br w:val="nil"/>
              <w:tr2bl w:val="nil"/>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z w:val="21"/>
                <w:szCs w:val="21"/>
              </w:rPr>
            </w:pPr>
          </w:p>
        </w:tc>
        <w:tc>
          <w:tcPr>
            <w:tcW w:w="633" w:type="pct"/>
            <w:tcBorders>
              <w:tl2br w:val="nil"/>
              <w:tr2bl w:val="nil"/>
            </w:tcBorders>
            <w:vAlign w:val="center"/>
          </w:tcPr>
          <w:p>
            <w:pPr>
              <w:pStyle w:val="2"/>
              <w:keepNext w:val="0"/>
              <w:keepLines w:val="0"/>
              <w:suppressLineNumbers w:val="0"/>
              <w:spacing w:before="0" w:beforeAutospacing="0" w:after="0" w:afterAutospacing="0"/>
              <w:ind w:left="0" w:right="0" w:firstLine="0"/>
              <w:jc w:val="center"/>
              <w:rPr>
                <w:rFonts w:hint="default" w:ascii="Times New Roman" w:hAnsi="Times New Roman" w:cs="Times New Roman"/>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73"/>
        <w:textAlignment w:val="auto"/>
        <w:rPr>
          <w:rFonts w:hint="eastAsia"/>
          <w:b w:val="0"/>
          <w:bCs w:val="0"/>
          <w:color w:val="auto"/>
          <w:sz w:val="28"/>
          <w:szCs w:val="28"/>
          <w:u w:val="none"/>
          <w:lang w:val="en-US" w:eastAsia="zh-CN"/>
        </w:rPr>
      </w:pPr>
      <w:r>
        <w:rPr>
          <w:rFonts w:hint="eastAsia"/>
          <w:b w:val="0"/>
          <w:bCs w:val="0"/>
          <w:color w:val="auto"/>
          <w:sz w:val="28"/>
          <w:szCs w:val="28"/>
          <w:u w:val="none"/>
          <w:lang w:val="en-US" w:eastAsia="zh-CN"/>
        </w:rPr>
        <w:t>该公司与钻井（定向施工）项目无关的仪器研发、制造、检验、存储、维修、市场及销售等生产经营、作业活动不属于本次评价范围，同时该公司已派遣43名员工到斯伦贝谢科技服务（成都）有限公司开展工作，不属于本次评价范围。</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auto"/>
        <w:rPr>
          <w:rFonts w:hint="eastAsia"/>
          <w:color w:val="auto"/>
          <w:sz w:val="28"/>
          <w:szCs w:val="28"/>
          <w:lang w:val="en-US" w:eastAsia="zh-CN"/>
        </w:rPr>
      </w:pPr>
      <w:r>
        <w:rPr>
          <w:rFonts w:hint="eastAsia"/>
          <w:color w:val="auto"/>
          <w:sz w:val="28"/>
          <w:szCs w:val="28"/>
          <w:lang w:val="en-US" w:eastAsia="zh-CN"/>
        </w:rPr>
        <w:t>凡涉及该公司的环保问题、职业卫生评价、办公生活设施、厂外运输、物料输送以及其他厂区、其他项目等，则应执行国家有关规定和相关标准，不在本评价范围。</w:t>
      </w:r>
    </w:p>
    <w:p>
      <w:pPr>
        <w:adjustRightInd w:val="0"/>
        <w:snapToGrid w:val="0"/>
        <w:spacing w:line="360" w:lineRule="auto"/>
        <w:ind w:firstLine="570"/>
        <w:rPr>
          <w:rFonts w:hint="default"/>
          <w:color w:val="auto"/>
          <w:sz w:val="28"/>
          <w:szCs w:val="28"/>
          <w:lang w:val="en-US" w:eastAsia="zh-CN"/>
        </w:rPr>
      </w:pPr>
      <w:r>
        <w:rPr>
          <w:rFonts w:hint="eastAsia"/>
          <w:color w:val="auto"/>
          <w:sz w:val="28"/>
          <w:szCs w:val="28"/>
          <w:lang w:val="en-US" w:eastAsia="zh-CN"/>
        </w:rPr>
        <w:t>根据《非煤矿矿山企业安全生产许可证实施办法》（国家安全生产监督管理总局令[2009]第20号，2015修订版）、《东营市应急管理局关于进一步规范非煤矿矿山《安全生产许可证》颁发管理有关问题的函》（东应急函字[2021]50号），企业安全生产许可证申请范围为：钻井（定向施工），本次安全评价范围与企业安全生产许可证申请范围一致。</w:t>
      </w:r>
    </w:p>
    <w:p>
      <w:pPr>
        <w:pStyle w:val="4"/>
        <w:adjustRightInd w:val="0"/>
        <w:snapToGrid w:val="0"/>
        <w:spacing w:before="0" w:after="0" w:line="360" w:lineRule="auto"/>
        <w:rPr>
          <w:rFonts w:ascii="Times New Roman" w:hAnsi="Times New Roman"/>
          <w:b w:val="0"/>
          <w:bCs/>
          <w:szCs w:val="32"/>
        </w:rPr>
      </w:pPr>
      <w:bookmarkStart w:id="9" w:name="_Toc202759400"/>
      <w:bookmarkStart w:id="10" w:name="_Toc30126"/>
      <w:r>
        <w:rPr>
          <w:rFonts w:hint="eastAsia" w:ascii="Times New Roman" w:hAnsi="Times New Roman"/>
          <w:b w:val="0"/>
          <w:bCs/>
          <w:szCs w:val="32"/>
        </w:rPr>
        <w:t>1.4</w:t>
      </w:r>
      <w:r>
        <w:rPr>
          <w:rFonts w:ascii="Times New Roman" w:hAnsi="Times New Roman"/>
          <w:b w:val="0"/>
          <w:bCs/>
          <w:szCs w:val="32"/>
        </w:rPr>
        <w:t xml:space="preserve"> </w:t>
      </w:r>
      <w:r>
        <w:rPr>
          <w:rFonts w:hint="eastAsia" w:ascii="Times New Roman" w:hAnsi="Times New Roman"/>
          <w:b w:val="0"/>
          <w:bCs/>
          <w:szCs w:val="32"/>
        </w:rPr>
        <w:t>评价程序</w:t>
      </w:r>
      <w:bookmarkEnd w:id="9"/>
      <w:bookmarkEnd w:id="10"/>
    </w:p>
    <w:p>
      <w:pPr>
        <w:adjustRightInd w:val="0"/>
        <w:snapToGrid w:val="0"/>
        <w:spacing w:line="360" w:lineRule="auto"/>
        <w:ind w:firstLine="560" w:firstLineChars="200"/>
        <w:rPr>
          <w:rFonts w:hint="eastAsia" w:ascii="Times New Roman" w:hAnsi="Times New Roman" w:eastAsia="宋体" w:cs="Times New Roman"/>
          <w:sz w:val="28"/>
          <w:szCs w:val="28"/>
          <w:lang w:eastAsia="zh-CN"/>
        </w:rPr>
      </w:pPr>
      <w:bookmarkStart w:id="11" w:name="_Toc202759401"/>
      <w:r>
        <w:rPr>
          <w:rFonts w:hint="eastAsia" w:ascii="Times New Roman" w:hAnsi="Times New Roman" w:eastAsia="宋体" w:cs="Times New Roman"/>
          <w:sz w:val="28"/>
          <w:szCs w:val="28"/>
        </w:rPr>
        <w:t>安全现状评价工作程序如下</w:t>
      </w:r>
      <w:r>
        <w:rPr>
          <w:rFonts w:hint="eastAsia" w:cs="Times New Roman"/>
          <w:sz w:val="28"/>
          <w:szCs w:val="28"/>
          <w:lang w:eastAsia="zh-CN"/>
        </w:rPr>
        <w:t>：</w:t>
      </w:r>
    </w:p>
    <w:p>
      <w:pPr>
        <w:numPr>
          <w:ilvl w:val="0"/>
          <w:numId w:val="10"/>
        </w:numPr>
        <w:adjustRightInd w:val="0"/>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前期准备阶段</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收集有关资料；</w:t>
      </w:r>
    </w:p>
    <w:p>
      <w:pPr>
        <w:numPr>
          <w:ilvl w:val="0"/>
          <w:numId w:val="10"/>
        </w:numPr>
        <w:adjustRightInd w:val="0"/>
        <w:snapToGrid w:val="0"/>
        <w:spacing w:line="360" w:lineRule="auto"/>
        <w:ind w:left="0" w:leftChars="0"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辨识与分析危险、有害因素；</w:t>
      </w:r>
    </w:p>
    <w:p>
      <w:pPr>
        <w:numPr>
          <w:ilvl w:val="0"/>
          <w:numId w:val="10"/>
        </w:numPr>
        <w:adjustRightInd w:val="0"/>
        <w:snapToGrid w:val="0"/>
        <w:spacing w:line="360" w:lineRule="auto"/>
        <w:ind w:left="0" w:leftChars="0"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划分评价单元，选择评价方法；</w:t>
      </w:r>
    </w:p>
    <w:p>
      <w:pPr>
        <w:numPr>
          <w:ilvl w:val="0"/>
          <w:numId w:val="10"/>
        </w:numPr>
        <w:adjustRightInd w:val="0"/>
        <w:snapToGrid w:val="0"/>
        <w:spacing w:line="360" w:lineRule="auto"/>
        <w:ind w:left="0" w:leftChars="0"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实施评价阶段</w:t>
      </w:r>
      <w:r>
        <w:rPr>
          <w:rFonts w:hint="eastAsia" w:cs="Times New Roman"/>
          <w:sz w:val="28"/>
          <w:szCs w:val="28"/>
          <w:lang w:val="en-US" w:eastAsia="zh-CN"/>
        </w:rPr>
        <w:t>：</w:t>
      </w:r>
      <w:r>
        <w:rPr>
          <w:rFonts w:hint="eastAsia" w:ascii="Times New Roman" w:hAnsi="Times New Roman" w:eastAsia="宋体" w:cs="Times New Roman"/>
          <w:sz w:val="28"/>
          <w:szCs w:val="28"/>
          <w:lang w:val="en-US" w:eastAsia="zh-CN"/>
        </w:rPr>
        <w:t xml:space="preserve">对作业情况及安全管理情况进行现场检查、调查，运用相应的评价方法进行定性定量评价； </w:t>
      </w:r>
    </w:p>
    <w:p>
      <w:pPr>
        <w:numPr>
          <w:ilvl w:val="0"/>
          <w:numId w:val="10"/>
        </w:numPr>
        <w:adjustRightInd w:val="0"/>
        <w:snapToGrid w:val="0"/>
        <w:spacing w:line="360" w:lineRule="auto"/>
        <w:ind w:left="0" w:leftChars="0"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 xml:space="preserve">提出安全对策措施及建议； </w:t>
      </w:r>
    </w:p>
    <w:p>
      <w:pPr>
        <w:numPr>
          <w:ilvl w:val="0"/>
          <w:numId w:val="10"/>
        </w:numPr>
        <w:adjustRightInd w:val="0"/>
        <w:snapToGrid w:val="0"/>
        <w:spacing w:line="360" w:lineRule="auto"/>
        <w:ind w:left="0" w:leftChars="0"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作出评价结论，编制完成安全现状评价报告</w:t>
      </w:r>
      <w:r>
        <w:rPr>
          <w:rFonts w:hint="eastAsia" w:ascii="Times New Roman" w:hAnsi="Times New Roman" w:eastAsia="宋体" w:cs="Times New Roman"/>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具体程序见下图1</w:t>
      </w:r>
      <w:r>
        <w:rPr>
          <w:rFonts w:hint="eastAsia"/>
          <w:sz w:val="28"/>
          <w:szCs w:val="28"/>
          <w:lang w:val="en-US" w:eastAsia="zh-CN"/>
        </w:rPr>
        <w:t>.4</w:t>
      </w:r>
      <w:r>
        <w:rPr>
          <w:rFonts w:hint="eastAsia"/>
          <w:sz w:val="28"/>
          <w:szCs w:val="28"/>
        </w:rPr>
        <w:t>-1。</w:t>
      </w: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p>
    <w:p>
      <w:pPr>
        <w:pStyle w:val="2"/>
        <w:rPr>
          <w:rFonts w:hint="eastAsia"/>
          <w:sz w:val="28"/>
          <w:szCs w:val="28"/>
        </w:rPr>
      </w:pPr>
      <w:r>
        <w:rPr>
          <w:sz w:val="28"/>
        </w:rPr>
        <mc:AlternateContent>
          <mc:Choice Requires="wps">
            <w:drawing>
              <wp:anchor distT="0" distB="0" distL="114300" distR="114300" simplePos="0" relativeHeight="251723776" behindDoc="0" locked="0" layoutInCell="1" allowOverlap="1">
                <wp:simplePos x="0" y="0"/>
                <wp:positionH relativeFrom="column">
                  <wp:posOffset>2008505</wp:posOffset>
                </wp:positionH>
                <wp:positionV relativeFrom="paragraph">
                  <wp:posOffset>22225</wp:posOffset>
                </wp:positionV>
                <wp:extent cx="1341120" cy="276860"/>
                <wp:effectExtent l="4445" t="4445" r="6985" b="23495"/>
                <wp:wrapNone/>
                <wp:docPr id="6" name="矩形 6"/>
                <wp:cNvGraphicFramePr/>
                <a:graphic xmlns:a="http://schemas.openxmlformats.org/drawingml/2006/main">
                  <a:graphicData uri="http://schemas.microsoft.com/office/word/2010/wordprocessingShape">
                    <wps:wsp>
                      <wps:cNvSpPr/>
                      <wps:spPr>
                        <a:xfrm>
                          <a:off x="3072765" y="2537460"/>
                          <a:ext cx="134112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前期准备</w:t>
                            </w:r>
                          </w:p>
                        </w:txbxContent>
                      </wps:txbx>
                      <wps:bodyPr upright="1"/>
                    </wps:wsp>
                  </a:graphicData>
                </a:graphic>
              </wp:anchor>
            </w:drawing>
          </mc:Choice>
          <mc:Fallback>
            <w:pict>
              <v:rect id="_x0000_s1026" o:spid="_x0000_s1026" o:spt="1" style="position:absolute;left:0pt;margin-left:158.15pt;margin-top:1.75pt;height:21.8pt;width:105.6pt;z-index:251723776;mso-width-relative:page;mso-height-relative:page;" fillcolor="#FFFFFF" filled="t" stroked="t" coordsize="21600,21600" o:gfxdata="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XjnDXAAAACAEAAA8AAAAAAAAAAQAg&#10;AAAAIgAAAGRycy9kb3ducmV2LnhtbFBLAQIUABQAAAAIAIdO4kDSpn3HDwIAADUEAAAOAAAAAAAA&#10;AAEAIAAAACYBAABkcnMvZTJvRG9jLnhtbFBLBQYAAAAABgAGAFkBAACnBQAAAAA=&#10;">
                <v:fill on="t" focussize="0,0"/>
                <v:stroke color="#000000" joinstyle="miter"/>
                <v:imagedata o:title=""/>
                <o:lock v:ext="edit" aspectratio="f"/>
                <v:textbox>
                  <w:txbxContent>
                    <w:p>
                      <w:pPr>
                        <w:jc w:val="center"/>
                        <w:rPr>
                          <w:rFonts w:hint="eastAsia"/>
                          <w:szCs w:val="21"/>
                        </w:rPr>
                      </w:pPr>
                      <w:r>
                        <w:rPr>
                          <w:rFonts w:hint="eastAsia"/>
                          <w:szCs w:val="21"/>
                        </w:rPr>
                        <w:t>前期准备</w:t>
                      </w:r>
                    </w:p>
                  </w:txbxContent>
                </v:textbox>
              </v:rect>
            </w:pict>
          </mc:Fallback>
        </mc:AlternateContent>
      </w:r>
      <w:r>
        <w:rPr>
          <w:sz w:val="20"/>
        </w:rPr>
        <mc:AlternateContent>
          <mc:Choice Requires="wps">
            <w:drawing>
              <wp:anchor distT="0" distB="0" distL="114300" distR="114300" simplePos="0" relativeHeight="251725824" behindDoc="0" locked="0" layoutInCell="1" allowOverlap="1">
                <wp:simplePos x="0" y="0"/>
                <wp:positionH relativeFrom="column">
                  <wp:posOffset>2675890</wp:posOffset>
                </wp:positionH>
                <wp:positionV relativeFrom="paragraph">
                  <wp:posOffset>299085</wp:posOffset>
                </wp:positionV>
                <wp:extent cx="0" cy="337185"/>
                <wp:effectExtent l="38100" t="0" r="38100" b="5715"/>
                <wp:wrapNone/>
                <wp:docPr id="8" name="直接连接符 8"/>
                <wp:cNvGraphicFramePr/>
                <a:graphic xmlns:a="http://schemas.openxmlformats.org/drawingml/2006/main">
                  <a:graphicData uri="http://schemas.microsoft.com/office/word/2010/wordprocessingShape">
                    <wps:wsp>
                      <wps:cNvCnPr/>
                      <wps:spPr>
                        <a:xfrm>
                          <a:off x="3792855" y="2814320"/>
                          <a:ext cx="0" cy="3371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0.7pt;margin-top:23.55pt;height:26.55pt;width:0pt;z-index:251725824;mso-width-relative:page;mso-height-relative:page;" filled="f" stroked="t" coordsize="21600,21600" o:gfxdata="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j93ufYAAAACgEAAA8AAAAAAAAAAQAgAAAAIgAA&#10;AGRycy9kb3ducmV2LnhtbFBLAQIUABQAAAAIAIdO4kC8KIoyCAIAAPMDAAAOAAAAAAAAAAEAIAAA&#10;ACcBAABkcnMvZTJvRG9jLnhtbFBLBQYAAAAABgAGAFkBAAChBQAAAAA=&#10;">
                <v:fill on="f" focussize="0,0"/>
                <v:stroke color="#000000" joinstyle="round" endarrow="block"/>
                <v:imagedata o:title=""/>
                <o:lock v:ext="edit" aspectratio="f"/>
              </v:line>
            </w:pict>
          </mc:Fallback>
        </mc:AlternateContent>
      </w:r>
    </w:p>
    <w:p>
      <w:pPr>
        <w:pStyle w:val="2"/>
        <w:rPr>
          <w:rFonts w:hint="eastAsia"/>
          <w:sz w:val="28"/>
          <w:szCs w:val="28"/>
        </w:rPr>
      </w:pPr>
      <w:r>
        <w:rPr>
          <w:sz w:val="20"/>
        </w:rPr>
        <mc:AlternateContent>
          <mc:Choice Requires="wps">
            <w:drawing>
              <wp:anchor distT="0" distB="0" distL="114300" distR="114300" simplePos="0" relativeHeight="251724800" behindDoc="0" locked="0" layoutInCell="1" allowOverlap="1">
                <wp:simplePos x="0" y="0"/>
                <wp:positionH relativeFrom="column">
                  <wp:posOffset>1364615</wp:posOffset>
                </wp:positionH>
                <wp:positionV relativeFrom="paragraph">
                  <wp:posOffset>306705</wp:posOffset>
                </wp:positionV>
                <wp:extent cx="2520315" cy="300990"/>
                <wp:effectExtent l="5080" t="5080" r="8255" b="17780"/>
                <wp:wrapNone/>
                <wp:docPr id="7" name="矩形 7"/>
                <wp:cNvGraphicFramePr/>
                <a:graphic xmlns:a="http://schemas.openxmlformats.org/drawingml/2006/main">
                  <a:graphicData uri="http://schemas.microsoft.com/office/word/2010/wordprocessingShape">
                    <wps:wsp>
                      <wps:cNvSpPr/>
                      <wps:spPr>
                        <a:xfrm>
                          <a:off x="2472690" y="3151505"/>
                          <a:ext cx="2520315" cy="300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szCs w:val="21"/>
                              </w:rPr>
                              <w:t>危险、有害因素和事故隐患的识别</w:t>
                            </w:r>
                          </w:p>
                        </w:txbxContent>
                      </wps:txbx>
                      <wps:bodyPr upright="1"/>
                    </wps:wsp>
                  </a:graphicData>
                </a:graphic>
              </wp:anchor>
            </w:drawing>
          </mc:Choice>
          <mc:Fallback>
            <w:pict>
              <v:rect id="_x0000_s1026" o:spid="_x0000_s1026" o:spt="1" style="position:absolute;left:0pt;margin-left:107.45pt;margin-top:24.15pt;height:23.7pt;width:198.45pt;z-index:251724800;mso-width-relative:page;mso-height-relative:page;" fillcolor="#FFFFFF" filled="t" stroked="t" coordsize="21600,21600" o:gfxdata="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UgdgAAAAJAQAADwAAAAAAAAABACAAAAAi&#10;AAAAZHJzL2Rvd25yZXYueG1sUEsBAhQAFAAAAAgAh07iQARXsiQKAgAANQQAAA4AAAAAAAAAAQAg&#10;AAAAJwEAAGRycy9lMm9Eb2MueG1sUEsFBgAAAAAGAAYAWQEAAKMFAAAAAA==&#10;">
                <v:fill on="t" focussize="0,0"/>
                <v:stroke color="#000000" joinstyle="miter"/>
                <v:imagedata o:title=""/>
                <o:lock v:ext="edit" aspectratio="f"/>
                <v:textbox>
                  <w:txbxContent>
                    <w:p>
                      <w:pPr>
                        <w:jc w:val="center"/>
                        <w:rPr>
                          <w:rFonts w:hint="eastAsia"/>
                        </w:rPr>
                      </w:pPr>
                      <w:r>
                        <w:rPr>
                          <w:rFonts w:hint="eastAsia"/>
                          <w:szCs w:val="21"/>
                        </w:rPr>
                        <w:t>危险、有害因素和事故隐患的识别</w:t>
                      </w:r>
                    </w:p>
                  </w:txbxContent>
                </v:textbox>
              </v:rect>
            </w:pict>
          </mc:Fallback>
        </mc:AlternateContent>
      </w:r>
    </w:p>
    <w:p>
      <w:pPr>
        <w:pStyle w:val="259"/>
        <w:kinsoku w:val="0"/>
        <w:overflowPunct w:val="0"/>
        <w:spacing w:beforeLines="0" w:afterLines="0" w:line="6678" w:lineRule="exact"/>
        <w:ind w:left="0" w:leftChars="0" w:firstLine="0" w:firstLineChars="0"/>
        <w:rPr>
          <w:rFonts w:hint="default" w:ascii="Times New Roman" w:hAnsi="Times New Roman" w:eastAsia="Times New Roman"/>
          <w:position w:val="-134"/>
          <w:sz w:val="20"/>
          <w:szCs w:val="24"/>
        </w:rPr>
      </w:pPr>
      <w:r>
        <w:rPr>
          <w:sz w:val="20"/>
        </w:rPr>
        <mc:AlternateContent>
          <mc:Choice Requires="wps">
            <w:drawing>
              <wp:anchor distT="0" distB="0" distL="114300" distR="114300" simplePos="0" relativeHeight="251742208" behindDoc="0" locked="0" layoutInCell="1" allowOverlap="1">
                <wp:simplePos x="0" y="0"/>
                <wp:positionH relativeFrom="column">
                  <wp:posOffset>2663190</wp:posOffset>
                </wp:positionH>
                <wp:positionV relativeFrom="paragraph">
                  <wp:posOffset>280670</wp:posOffset>
                </wp:positionV>
                <wp:extent cx="2540" cy="288925"/>
                <wp:effectExtent l="37465" t="0" r="36195" b="15875"/>
                <wp:wrapNone/>
                <wp:docPr id="150" name="直接连接符 150"/>
                <wp:cNvGraphicFramePr/>
                <a:graphic xmlns:a="http://schemas.openxmlformats.org/drawingml/2006/main">
                  <a:graphicData uri="http://schemas.microsoft.com/office/word/2010/wordprocessingShape">
                    <wps:wsp>
                      <wps:cNvCnPr/>
                      <wps:spPr>
                        <a:xfrm flipH="1">
                          <a:off x="0" y="0"/>
                          <a:ext cx="2540" cy="288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7pt;margin-top:22.1pt;height:22.75pt;width:0.2pt;z-index:251742208;mso-width-relative:page;mso-height-relative:page;" filled="f" stroked="t" coordsize="21600,21600" o:gfxdata="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eCsh2QAAAAkBAAAPAAAAAAAAAAEAIAAAACIAAABk&#10;cnMvZG93bnJldi54bWxQSwECFAAUAAAACACHTuJAwx/smgUCAAD4AwAADgAAAAAAAAABACAAAAAo&#10;AQAAZHJzL2Uyb0RvYy54bWxQSwUGAAAAAAYABgBZAQAAnwU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1741184" behindDoc="0" locked="0" layoutInCell="1" allowOverlap="1">
                <wp:simplePos x="0" y="0"/>
                <wp:positionH relativeFrom="column">
                  <wp:posOffset>1986915</wp:posOffset>
                </wp:positionH>
                <wp:positionV relativeFrom="paragraph">
                  <wp:posOffset>570230</wp:posOffset>
                </wp:positionV>
                <wp:extent cx="1341120" cy="276860"/>
                <wp:effectExtent l="4445" t="4445" r="6985" b="23495"/>
                <wp:wrapNone/>
                <wp:docPr id="129" name="矩形 129"/>
                <wp:cNvGraphicFramePr/>
                <a:graphic xmlns:a="http://schemas.openxmlformats.org/drawingml/2006/main">
                  <a:graphicData uri="http://schemas.microsoft.com/office/word/2010/wordprocessingShape">
                    <wps:wsp>
                      <wps:cNvSpPr/>
                      <wps:spPr>
                        <a:xfrm>
                          <a:off x="0" y="0"/>
                          <a:ext cx="134112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Cs w:val="21"/>
                                <w:u w:val="none"/>
                                <w:lang w:val="en-US" w:eastAsia="zh-CN"/>
                              </w:rPr>
                            </w:pPr>
                            <w:r>
                              <w:rPr>
                                <w:rFonts w:hint="eastAsia"/>
                                <w:szCs w:val="21"/>
                                <w:u w:val="none"/>
                                <w:lang w:val="en-US" w:eastAsia="zh-CN"/>
                              </w:rPr>
                              <w:t>评价单元的划分</w:t>
                            </w:r>
                          </w:p>
                        </w:txbxContent>
                      </wps:txbx>
                      <wps:bodyPr upright="1"/>
                    </wps:wsp>
                  </a:graphicData>
                </a:graphic>
              </wp:anchor>
            </w:drawing>
          </mc:Choice>
          <mc:Fallback>
            <w:pict>
              <v:rect id="_x0000_s1026" o:spid="_x0000_s1026" o:spt="1" style="position:absolute;left:0pt;margin-left:156.45pt;margin-top:44.9pt;height:21.8pt;width:105.6pt;z-index:251741184;mso-width-relative:page;mso-height-relative:page;" fillcolor="#FFFFFF" filled="t" stroked="t" coordsize="21600,21600" o:gfxdata="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&#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z7oh2AAAAAoBAAAPAAAAAAAAAAEAIAAAACIAAABk&#10;cnMvZG93bnJldi54bWxQSwECFAAUAAAACACHTuJA++5z/QYCAAAtBAAADgAAAAAAAAABACAAAAAn&#10;AQAAZHJzL2Uyb0RvYy54bWxQSwUGAAAAAAYABgBZAQAAnwUAAAAA&#10;">
                <v:fill on="t" focussize="0,0"/>
                <v:stroke color="#000000" joinstyle="miter"/>
                <v:imagedata o:title=""/>
                <o:lock v:ext="edit" aspectratio="f"/>
                <v:textbox>
                  <w:txbxContent>
                    <w:p>
                      <w:pPr>
                        <w:jc w:val="center"/>
                        <w:rPr>
                          <w:rFonts w:hint="default" w:eastAsia="宋体"/>
                          <w:szCs w:val="21"/>
                          <w:u w:val="none"/>
                          <w:lang w:val="en-US" w:eastAsia="zh-CN"/>
                        </w:rPr>
                      </w:pPr>
                      <w:r>
                        <w:rPr>
                          <w:rFonts w:hint="eastAsia"/>
                          <w:szCs w:val="21"/>
                          <w:u w:val="none"/>
                          <w:lang w:val="en-US" w:eastAsia="zh-CN"/>
                        </w:rPr>
                        <w:t>评价单元的划分</w:t>
                      </w:r>
                    </w:p>
                  </w:txbxContent>
                </v:textbox>
              </v:rect>
            </w:pict>
          </mc:Fallback>
        </mc:AlternateContent>
      </w:r>
      <w:r>
        <w:rPr>
          <w:sz w:val="20"/>
        </w:rPr>
        <mc:AlternateContent>
          <mc:Choice Requires="wps">
            <w:drawing>
              <wp:anchor distT="0" distB="0" distL="114300" distR="114300" simplePos="0" relativeHeight="251740160" behindDoc="0" locked="0" layoutInCell="1" allowOverlap="1">
                <wp:simplePos x="0" y="0"/>
                <wp:positionH relativeFrom="column">
                  <wp:posOffset>4090035</wp:posOffset>
                </wp:positionH>
                <wp:positionV relativeFrom="paragraph">
                  <wp:posOffset>1771015</wp:posOffset>
                </wp:positionV>
                <wp:extent cx="0" cy="368935"/>
                <wp:effectExtent l="4445" t="0" r="14605" b="12065"/>
                <wp:wrapNone/>
                <wp:docPr id="35" name="直接连接符 35"/>
                <wp:cNvGraphicFramePr/>
                <a:graphic xmlns:a="http://schemas.openxmlformats.org/drawingml/2006/main">
                  <a:graphicData uri="http://schemas.microsoft.com/office/word/2010/wordprocessingShape">
                    <wps:wsp>
                      <wps:cNvCnPr/>
                      <wps:spPr>
                        <a:xfrm>
                          <a:off x="5233035" y="4383405"/>
                          <a:ext cx="0" cy="3689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2.05pt;margin-top:139.45pt;height:29.05pt;width:0pt;z-index:251740160;mso-width-relative:page;mso-height-relative:page;" filled="f" stroked="t" coordsize="21600,21600" o:gfxdata="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lA1/ZAAAACwEAAA8AAAAAAAAAAQAgAAAAIgAAAGRy&#10;cy9kb3ducmV2LnhtbFBLAQIUABQAAAAIAIdO4kC04tQqBAIAAPEDAAAOAAAAAAAAAAEAIAAAACgB&#10;AABkcnMvZTJvRG9jLnhtbFBLBQYAAAAABgAGAFkBAACe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39136" behindDoc="0" locked="0" layoutInCell="1" allowOverlap="1">
                <wp:simplePos x="0" y="0"/>
                <wp:positionH relativeFrom="column">
                  <wp:posOffset>1329690</wp:posOffset>
                </wp:positionH>
                <wp:positionV relativeFrom="paragraph">
                  <wp:posOffset>2139950</wp:posOffset>
                </wp:positionV>
                <wp:extent cx="2760345" cy="0"/>
                <wp:effectExtent l="0" t="0" r="0" b="0"/>
                <wp:wrapNone/>
                <wp:docPr id="34" name="直接连接符 34"/>
                <wp:cNvGraphicFramePr/>
                <a:graphic xmlns:a="http://schemas.openxmlformats.org/drawingml/2006/main">
                  <a:graphicData uri="http://schemas.microsoft.com/office/word/2010/wordprocessingShape">
                    <wps:wsp>
                      <wps:cNvCnPr/>
                      <wps:spPr>
                        <a:xfrm>
                          <a:off x="2472690" y="4752340"/>
                          <a:ext cx="27603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7pt;margin-top:168.5pt;height:0pt;width:217.35pt;z-index:251739136;mso-width-relative:page;mso-height-relative:page;" filled="f" stroked="t" coordsize="21600,21600" o:gfxdata="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eMR+9gAAAALAQAADwAAAAAAAAABACAAAAAiAAAAZHJz&#10;L2Rvd25yZXYueG1sUEsBAhQAFAAAAAgAh07iQPH8jVAEAgAA8gMAAA4AAAAAAAAAAQAgAAAAJwEA&#10;AGRycy9lMm9Eb2MueG1sUEsFBgAAAAAGAAYAWQEAAJ0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38112" behindDoc="0" locked="0" layoutInCell="1" allowOverlap="1">
                <wp:simplePos x="0" y="0"/>
                <wp:positionH relativeFrom="column">
                  <wp:posOffset>1329690</wp:posOffset>
                </wp:positionH>
                <wp:positionV relativeFrom="paragraph">
                  <wp:posOffset>1771015</wp:posOffset>
                </wp:positionV>
                <wp:extent cx="0" cy="368935"/>
                <wp:effectExtent l="4445" t="0" r="14605" b="12065"/>
                <wp:wrapNone/>
                <wp:docPr id="33" name="直接连接符 33"/>
                <wp:cNvGraphicFramePr/>
                <a:graphic xmlns:a="http://schemas.openxmlformats.org/drawingml/2006/main">
                  <a:graphicData uri="http://schemas.microsoft.com/office/word/2010/wordprocessingShape">
                    <wps:wsp>
                      <wps:cNvCnPr/>
                      <wps:spPr>
                        <a:xfrm>
                          <a:off x="2472690" y="4383405"/>
                          <a:ext cx="0" cy="3689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7pt;margin-top:139.45pt;height:29.05pt;width:0pt;z-index:251738112;mso-width-relative:page;mso-height-relative:page;" filled="f" stroked="t" coordsize="21600,21600" o:gfxdata="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rykH9cAAAALAQAADwAAAAAAAAABACAAAAAiAAAAZHJz&#10;L2Rvd25yZXYueG1sUEsBAhQAFAAAAAgAh07iQBsJUFsFAgAA8QMAAA4AAAAAAAAAAQAgAAAAJgEA&#10;AGRycy9lMm9Eb2MueG1sUEsFBgAAAAAGAAYAWQEAAJ0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37088" behindDoc="0" locked="0" layoutInCell="1" allowOverlap="1">
                <wp:simplePos x="0" y="0"/>
                <wp:positionH relativeFrom="column">
                  <wp:posOffset>4090035</wp:posOffset>
                </wp:positionH>
                <wp:positionV relativeFrom="paragraph">
                  <wp:posOffset>1124585</wp:posOffset>
                </wp:positionV>
                <wp:extent cx="0" cy="368935"/>
                <wp:effectExtent l="38100" t="0" r="38100" b="12065"/>
                <wp:wrapNone/>
                <wp:docPr id="32" name="直接连接符 32"/>
                <wp:cNvGraphicFramePr/>
                <a:graphic xmlns:a="http://schemas.openxmlformats.org/drawingml/2006/main">
                  <a:graphicData uri="http://schemas.microsoft.com/office/word/2010/wordprocessingShape">
                    <wps:wsp>
                      <wps:cNvCnPr/>
                      <wps:spPr>
                        <a:xfrm>
                          <a:off x="5233035" y="3736975"/>
                          <a:ext cx="0" cy="368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2.05pt;margin-top:88.55pt;height:29.05pt;width:0pt;z-index:251737088;mso-width-relative:page;mso-height-relative:page;" filled="f" stroked="t" coordsize="21600,21600" o:gfxdata="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Jcc42wAAAAsBAAAPAAAAAAAAAAEAIAAA&#10;ACIAAABkcnMvZG93bnJldi54bWxQSwECFAAUAAAACACHTuJAYtvQngkCAAD1AwAADgAAAAAAAAAB&#10;ACAAAAAqAQAAZHJzL2Uyb0RvYy54bWxQSwUGAAAAAAYABgBZAQAApQ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36064" behindDoc="0" locked="0" layoutInCell="1" allowOverlap="1">
                <wp:simplePos x="0" y="0"/>
                <wp:positionH relativeFrom="column">
                  <wp:posOffset>1329690</wp:posOffset>
                </wp:positionH>
                <wp:positionV relativeFrom="paragraph">
                  <wp:posOffset>1124585</wp:posOffset>
                </wp:positionV>
                <wp:extent cx="2760345" cy="0"/>
                <wp:effectExtent l="0" t="0" r="0" b="0"/>
                <wp:wrapNone/>
                <wp:docPr id="31" name="直接连接符 31"/>
                <wp:cNvGraphicFramePr/>
                <a:graphic xmlns:a="http://schemas.openxmlformats.org/drawingml/2006/main">
                  <a:graphicData uri="http://schemas.microsoft.com/office/word/2010/wordprocessingShape">
                    <wps:wsp>
                      <wps:cNvCnPr/>
                      <wps:spPr>
                        <a:xfrm>
                          <a:off x="2472690" y="3736975"/>
                          <a:ext cx="27603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7pt;margin-top:88.55pt;height:0pt;width:217.35pt;z-index:251736064;mso-width-relative:page;mso-height-relative:page;" filled="f" stroked="t" coordsize="21600,21600" o:gfxdata="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swf01wAAAAsBAAAPAAAAAAAAAAEAIAAAACIAAABkcnMv&#10;ZG93bnJldi54bWxQSwECFAAUAAAACACHTuJA2xQC4AQCAADyAwAADgAAAAAAAAABACAAAAAmAQAA&#10;ZHJzL2Uyb0RvYy54bWxQSwUGAAAAAAYABgBZAQAAn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35040" behindDoc="0" locked="0" layoutInCell="1" allowOverlap="1">
                <wp:simplePos x="0" y="0"/>
                <wp:positionH relativeFrom="column">
                  <wp:posOffset>2649855</wp:posOffset>
                </wp:positionH>
                <wp:positionV relativeFrom="paragraph">
                  <wp:posOffset>847725</wp:posOffset>
                </wp:positionV>
                <wp:extent cx="0" cy="276860"/>
                <wp:effectExtent l="4445" t="0" r="14605" b="8890"/>
                <wp:wrapNone/>
                <wp:docPr id="30" name="直接连接符 30"/>
                <wp:cNvGraphicFramePr/>
                <a:graphic xmlns:a="http://schemas.openxmlformats.org/drawingml/2006/main">
                  <a:graphicData uri="http://schemas.microsoft.com/office/word/2010/wordprocessingShape">
                    <wps:wsp>
                      <wps:cNvCnPr/>
                      <wps:spPr>
                        <a:xfrm>
                          <a:off x="3792855" y="3460115"/>
                          <a:ext cx="0" cy="2768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8.65pt;margin-top:66.75pt;height:21.8pt;width:0pt;z-index:251735040;mso-width-relative:page;mso-height-relative:page;" filled="f" stroked="t" coordsize="21600,21600" o:gfxdata="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ezPQvXAAAACwEAAA8AAAAAAAAAAQAgAAAAIgAAAGRycy9k&#10;b3ducmV2LnhtbFBLAQIUABQAAAAIAIdO4kDcduT9AwIAAPEDAAAOAAAAAAAAAAEAIAAAACYBAABk&#10;cnMvZTJvRG9jLnhtbFBLBQYAAAAABgAGAFkBAACb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34016" behindDoc="0" locked="0" layoutInCell="1" allowOverlap="1">
                <wp:simplePos x="0" y="0"/>
                <wp:positionH relativeFrom="column">
                  <wp:posOffset>2649855</wp:posOffset>
                </wp:positionH>
                <wp:positionV relativeFrom="paragraph">
                  <wp:posOffset>3432175</wp:posOffset>
                </wp:positionV>
                <wp:extent cx="0" cy="276860"/>
                <wp:effectExtent l="38100" t="0" r="38100" b="8890"/>
                <wp:wrapNone/>
                <wp:docPr id="29" name="直接连接符 29"/>
                <wp:cNvGraphicFramePr/>
                <a:graphic xmlns:a="http://schemas.openxmlformats.org/drawingml/2006/main">
                  <a:graphicData uri="http://schemas.microsoft.com/office/word/2010/wordprocessingShape">
                    <wps:wsp>
                      <wps:cNvCnPr/>
                      <wps:spPr>
                        <a:xfrm>
                          <a:off x="3792855" y="6044565"/>
                          <a:ext cx="0" cy="2768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65pt;margin-top:270.25pt;height:21.8pt;width:0pt;z-index:251734016;mso-width-relative:page;mso-height-relative:page;" filled="f" stroked="t" coordsize="21600,21600" o:gfxdata="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2zKC2gAAAAsBAAAPAAAAAAAAAAEA&#10;IAAAACIAAABkcnMvZG93bnJldi54bWxQSwECFAAUAAAACACHTuJAYs3giA0CAAD1AwAADgAAAAAA&#10;AAABACAAAAApAQAAZHJzL2Uyb0RvYy54bWxQSwUGAAAAAAYABgBZAQAAqA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32992" behindDoc="0" locked="0" layoutInCell="1" allowOverlap="1">
                <wp:simplePos x="0" y="0"/>
                <wp:positionH relativeFrom="column">
                  <wp:posOffset>1809750</wp:posOffset>
                </wp:positionH>
                <wp:positionV relativeFrom="paragraph">
                  <wp:posOffset>3155315</wp:posOffset>
                </wp:positionV>
                <wp:extent cx="1680210" cy="276860"/>
                <wp:effectExtent l="4445" t="4445" r="10795" b="23495"/>
                <wp:wrapNone/>
                <wp:docPr id="27" name="矩形 27"/>
                <wp:cNvGraphicFramePr/>
                <a:graphic xmlns:a="http://schemas.openxmlformats.org/drawingml/2006/main">
                  <a:graphicData uri="http://schemas.microsoft.com/office/word/2010/wordprocessingShape">
                    <wps:wsp>
                      <wps:cNvSpPr/>
                      <wps:spPr>
                        <a:xfrm>
                          <a:off x="2952750" y="5767705"/>
                          <a:ext cx="168021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szCs w:val="21"/>
                              </w:rPr>
                              <w:t>确定安全评价结论</w:t>
                            </w:r>
                          </w:p>
                        </w:txbxContent>
                      </wps:txbx>
                      <wps:bodyPr upright="1"/>
                    </wps:wsp>
                  </a:graphicData>
                </a:graphic>
              </wp:anchor>
            </w:drawing>
          </mc:Choice>
          <mc:Fallback>
            <w:pict>
              <v:rect id="_x0000_s1026" o:spid="_x0000_s1026" o:spt="1" style="position:absolute;left:0pt;margin-left:142.5pt;margin-top:248.45pt;height:21.8pt;width:132.3pt;z-index:251732992;mso-width-relative:page;mso-height-relative:page;" fillcolor="#FFFFFF" filled="t" stroked="t" coordsize="21600,21600" o:gfxdata="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7Il62AAAAAsBAAAPAAAAAAAAAAEA&#10;IAAAACIAAABkcnMvZG93bnJldi54bWxQSwECFAAUAAAACACHTuJAbPCZQw8CAAA3BAAADgAAAAAA&#10;AAABACAAAAAnAQAAZHJzL2Uyb0RvYy54bWxQSwUGAAAAAAYABgBZAQAAqAUAAAAA&#10;">
                <v:fill on="t" focussize="0,0"/>
                <v:stroke color="#000000" joinstyle="miter"/>
                <v:imagedata o:title=""/>
                <o:lock v:ext="edit" aspectratio="f"/>
                <v:textbox>
                  <w:txbxContent>
                    <w:p>
                      <w:pPr>
                        <w:jc w:val="center"/>
                        <w:rPr>
                          <w:rFonts w:hint="eastAsia"/>
                        </w:rPr>
                      </w:pPr>
                      <w:r>
                        <w:rPr>
                          <w:rFonts w:hint="eastAsia"/>
                          <w:szCs w:val="21"/>
                        </w:rPr>
                        <w:t>确定安全评价结论</w:t>
                      </w:r>
                    </w:p>
                  </w:txbxContent>
                </v:textbox>
              </v:rect>
            </w:pict>
          </mc:Fallback>
        </mc:AlternateContent>
      </w:r>
      <w:r>
        <w:rPr>
          <w:sz w:val="20"/>
        </w:rPr>
        <mc:AlternateContent>
          <mc:Choice Requires="wps">
            <w:drawing>
              <wp:anchor distT="0" distB="0" distL="114300" distR="114300" simplePos="0" relativeHeight="251731968" behindDoc="0" locked="0" layoutInCell="1" allowOverlap="1">
                <wp:simplePos x="0" y="0"/>
                <wp:positionH relativeFrom="column">
                  <wp:posOffset>2649855</wp:posOffset>
                </wp:positionH>
                <wp:positionV relativeFrom="paragraph">
                  <wp:posOffset>2785745</wp:posOffset>
                </wp:positionV>
                <wp:extent cx="0" cy="368935"/>
                <wp:effectExtent l="38100" t="0" r="38100" b="12065"/>
                <wp:wrapNone/>
                <wp:docPr id="25" name="直接连接符 25"/>
                <wp:cNvGraphicFramePr/>
                <a:graphic xmlns:a="http://schemas.openxmlformats.org/drawingml/2006/main">
                  <a:graphicData uri="http://schemas.microsoft.com/office/word/2010/wordprocessingShape">
                    <wps:wsp>
                      <wps:cNvCnPr/>
                      <wps:spPr>
                        <a:xfrm>
                          <a:off x="3792855" y="5398135"/>
                          <a:ext cx="0" cy="368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65pt;margin-top:219.35pt;height:29.05pt;width:0pt;z-index:251731968;mso-width-relative:page;mso-height-relative:page;" filled="f" stroked="t" coordsize="21600,21600" o:gfxdata="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aM37toAAAALAQAADwAAAAAAAAABACAA&#10;AAAiAAAAZHJzL2Rvd25yZXYueG1sUEsBAhQAFAAAAAgAh07iQNyKZPILAgAA9QMAAA4AAAAAAAAA&#10;AQAgAAAAKQEAAGRycy9lMm9Eb2MueG1sUEsFBgAAAAAGAAYAWQEAAKY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30944" behindDoc="0" locked="0" layoutInCell="1" allowOverlap="1">
                <wp:simplePos x="0" y="0"/>
                <wp:positionH relativeFrom="column">
                  <wp:posOffset>1750060</wp:posOffset>
                </wp:positionH>
                <wp:positionV relativeFrom="paragraph">
                  <wp:posOffset>2508885</wp:posOffset>
                </wp:positionV>
                <wp:extent cx="1860550" cy="276860"/>
                <wp:effectExtent l="4445" t="4445" r="20955" b="23495"/>
                <wp:wrapNone/>
                <wp:docPr id="24" name="矩形 24"/>
                <wp:cNvGraphicFramePr/>
                <a:graphic xmlns:a="http://schemas.openxmlformats.org/drawingml/2006/main">
                  <a:graphicData uri="http://schemas.microsoft.com/office/word/2010/wordprocessingShape">
                    <wps:wsp>
                      <wps:cNvSpPr/>
                      <wps:spPr>
                        <a:xfrm>
                          <a:off x="2893060" y="5121275"/>
                          <a:ext cx="186055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szCs w:val="21"/>
                              </w:rPr>
                              <w:t>确定安全对策措施及建议</w:t>
                            </w:r>
                          </w:p>
                        </w:txbxContent>
                      </wps:txbx>
                      <wps:bodyPr upright="1"/>
                    </wps:wsp>
                  </a:graphicData>
                </a:graphic>
              </wp:anchor>
            </w:drawing>
          </mc:Choice>
          <mc:Fallback>
            <w:pict>
              <v:rect id="_x0000_s1026" o:spid="_x0000_s1026" o:spt="1" style="position:absolute;left:0pt;margin-left:137.8pt;margin-top:197.55pt;height:21.8pt;width:146.5pt;z-index:251730944;mso-width-relative:page;mso-height-relative:page;" fillcolor="#FFFFFF" filled="t" stroked="t" coordsize="21600,21600" o:gfxdata="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JrPA2gAAAAsBAAAPAAAAAAAAAAEA&#10;IAAAACIAAABkcnMvZG93bnJldi54bWxQSwECFAAUAAAACACHTuJA+pPEWA0CAAA3BAAADgAAAAAA&#10;AAABACAAAAApAQAAZHJzL2Uyb0RvYy54bWxQSwUGAAAAAAYABgBZAQAAqAUAAAAA&#10;">
                <v:fill on="t" focussize="0,0"/>
                <v:stroke color="#000000" joinstyle="miter"/>
                <v:imagedata o:title=""/>
                <o:lock v:ext="edit" aspectratio="f"/>
                <v:textbox>
                  <w:txbxContent>
                    <w:p>
                      <w:pPr>
                        <w:jc w:val="center"/>
                        <w:rPr>
                          <w:rFonts w:hint="eastAsia"/>
                        </w:rPr>
                      </w:pPr>
                      <w:r>
                        <w:rPr>
                          <w:rFonts w:hint="eastAsia"/>
                          <w:szCs w:val="21"/>
                        </w:rPr>
                        <w:t>确定安全对策措施及建议</w:t>
                      </w:r>
                    </w:p>
                  </w:txbxContent>
                </v:textbox>
              </v:rect>
            </w:pict>
          </mc:Fallback>
        </mc:AlternateContent>
      </w:r>
      <w:r>
        <w:rPr>
          <w:sz w:val="20"/>
        </w:rPr>
        <mc:AlternateContent>
          <mc:Choice Requires="wps">
            <w:drawing>
              <wp:anchor distT="0" distB="0" distL="114300" distR="114300" simplePos="0" relativeHeight="251729920" behindDoc="0" locked="0" layoutInCell="1" allowOverlap="1">
                <wp:simplePos x="0" y="0"/>
                <wp:positionH relativeFrom="column">
                  <wp:posOffset>2649855</wp:posOffset>
                </wp:positionH>
                <wp:positionV relativeFrom="paragraph">
                  <wp:posOffset>2139950</wp:posOffset>
                </wp:positionV>
                <wp:extent cx="0" cy="368935"/>
                <wp:effectExtent l="38100" t="0" r="38100" b="12065"/>
                <wp:wrapNone/>
                <wp:docPr id="23" name="直接连接符 23"/>
                <wp:cNvGraphicFramePr/>
                <a:graphic xmlns:a="http://schemas.openxmlformats.org/drawingml/2006/main">
                  <a:graphicData uri="http://schemas.microsoft.com/office/word/2010/wordprocessingShape">
                    <wps:wsp>
                      <wps:cNvCnPr/>
                      <wps:spPr>
                        <a:xfrm>
                          <a:off x="3792855" y="4752340"/>
                          <a:ext cx="0" cy="368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65pt;margin-top:168.5pt;height:29.05pt;width:0pt;z-index:251729920;mso-width-relative:page;mso-height-relative:page;" filled="f" stroked="t" coordsize="21600,21600" o:gfxdata="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QMpXZAAAACwEAAA8AAAAAAAAAAQAgAAAA&#10;IgAAAGRycy9kb3ducmV2LnhtbFBLAQIUABQAAAAIAIdO4kAfgd1OCgIAAPUDAAAOAAAAAAAAAAEA&#10;IAAAACgBAABkcnMvZTJvRG9jLnhtbFBLBQYAAAAABgAGAFkBAACk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28896" behindDoc="0" locked="0" layoutInCell="1" allowOverlap="1">
                <wp:simplePos x="0" y="0"/>
                <wp:positionH relativeFrom="column">
                  <wp:posOffset>1329690</wp:posOffset>
                </wp:positionH>
                <wp:positionV relativeFrom="paragraph">
                  <wp:posOffset>1124585</wp:posOffset>
                </wp:positionV>
                <wp:extent cx="0" cy="393065"/>
                <wp:effectExtent l="38100" t="0" r="38100" b="6985"/>
                <wp:wrapNone/>
                <wp:docPr id="22" name="直接连接符 22"/>
                <wp:cNvGraphicFramePr/>
                <a:graphic xmlns:a="http://schemas.openxmlformats.org/drawingml/2006/main">
                  <a:graphicData uri="http://schemas.microsoft.com/office/word/2010/wordprocessingShape">
                    <wps:wsp>
                      <wps:cNvCnPr/>
                      <wps:spPr>
                        <a:xfrm>
                          <a:off x="2472690" y="3736975"/>
                          <a:ext cx="0" cy="3930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7pt;margin-top:88.55pt;height:30.95pt;width:0pt;z-index:251728896;mso-width-relative:page;mso-height-relative:page;" filled="f" stroked="t" coordsize="21600,21600" o:gfxdata="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Kx+Lf2gAAAAsBAAAPAAAAAAAAAAEAIAAA&#10;ACIAAABkcnMvZG93bnJldi54bWxQSwECFAAUAAAACACHTuJArCroRQoCAAD1AwAADgAAAAAAAAAB&#10;ACAAAAApAQAAZHJzL2Uyb0RvYy54bWxQSwUGAAAAAAYABgBZAQAApQ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27872" behindDoc="0" locked="0" layoutInCell="1" allowOverlap="1">
                <wp:simplePos x="0" y="0"/>
                <wp:positionH relativeFrom="column">
                  <wp:posOffset>3249930</wp:posOffset>
                </wp:positionH>
                <wp:positionV relativeFrom="paragraph">
                  <wp:posOffset>1494155</wp:posOffset>
                </wp:positionV>
                <wp:extent cx="1341120" cy="276860"/>
                <wp:effectExtent l="4445" t="4445" r="6985" b="23495"/>
                <wp:wrapNone/>
                <wp:docPr id="21" name="矩形 21"/>
                <wp:cNvGraphicFramePr/>
                <a:graphic xmlns:a="http://schemas.openxmlformats.org/drawingml/2006/main">
                  <a:graphicData uri="http://schemas.microsoft.com/office/word/2010/wordprocessingShape">
                    <wps:wsp>
                      <wps:cNvSpPr/>
                      <wps:spPr>
                        <a:xfrm>
                          <a:off x="4392930" y="4106545"/>
                          <a:ext cx="1341120"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szCs w:val="21"/>
                              </w:rPr>
                              <w:t>安全管理现状评价</w:t>
                            </w:r>
                          </w:p>
                        </w:txbxContent>
                      </wps:txbx>
                      <wps:bodyPr upright="1"/>
                    </wps:wsp>
                  </a:graphicData>
                </a:graphic>
              </wp:anchor>
            </w:drawing>
          </mc:Choice>
          <mc:Fallback>
            <w:pict>
              <v:rect id="_x0000_s1026" o:spid="_x0000_s1026" o:spt="1" style="position:absolute;left:0pt;margin-left:255.9pt;margin-top:117.65pt;height:21.8pt;width:105.6pt;z-index:251727872;mso-width-relative:page;mso-height-relative:page;" fillcolor="#FFFFFF" filled="t" stroked="t" coordsize="21600,21600" o:gfxdata="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rZs9d2gAAAAsBAAAPAAAAAAAA&#10;AAEAIAAAACIAAABkcnMvZG93bnJldi54bWxQSwECFAAUAAAACACHTuJABYYJmRACAAA3BAAADgAA&#10;AAAAAAABACAAAAApAQAAZHJzL2Uyb0RvYy54bWxQSwUGAAAAAAYABgBZAQAAqwUAAAAA&#10;">
                <v:fill on="t" focussize="0,0"/>
                <v:stroke color="#000000" joinstyle="miter"/>
                <v:imagedata o:title=""/>
                <o:lock v:ext="edit" aspectratio="f"/>
                <v:textbox>
                  <w:txbxContent>
                    <w:p>
                      <w:pPr>
                        <w:rPr>
                          <w:rFonts w:hint="eastAsia"/>
                        </w:rPr>
                      </w:pPr>
                      <w:r>
                        <w:rPr>
                          <w:rFonts w:hint="eastAsia"/>
                          <w:szCs w:val="21"/>
                        </w:rPr>
                        <w:t>安全管理现状评价</w:t>
                      </w:r>
                    </w:p>
                  </w:txbxContent>
                </v:textbox>
              </v:rect>
            </w:pict>
          </mc:Fallback>
        </mc:AlternateContent>
      </w:r>
      <w:r>
        <w:rPr>
          <w:sz w:val="20"/>
        </w:rPr>
        <mc:AlternateContent>
          <mc:Choice Requires="wps">
            <w:drawing>
              <wp:anchor distT="0" distB="0" distL="114300" distR="114300" simplePos="0" relativeHeight="251726848" behindDoc="0" locked="0" layoutInCell="1" allowOverlap="1">
                <wp:simplePos x="0" y="0"/>
                <wp:positionH relativeFrom="column">
                  <wp:posOffset>609600</wp:posOffset>
                </wp:positionH>
                <wp:positionV relativeFrom="paragraph">
                  <wp:posOffset>1494155</wp:posOffset>
                </wp:positionV>
                <wp:extent cx="1400175" cy="276860"/>
                <wp:effectExtent l="4445" t="4445" r="5080" b="23495"/>
                <wp:wrapNone/>
                <wp:docPr id="9" name="矩形 9"/>
                <wp:cNvGraphicFramePr/>
                <a:graphic xmlns:a="http://schemas.openxmlformats.org/drawingml/2006/main">
                  <a:graphicData uri="http://schemas.microsoft.com/office/word/2010/wordprocessingShape">
                    <wps:wsp>
                      <wps:cNvSpPr/>
                      <wps:spPr>
                        <a:xfrm>
                          <a:off x="1752600" y="4106545"/>
                          <a:ext cx="1400175" cy="276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szCs w:val="21"/>
                              </w:rPr>
                              <w:t>定性</w:t>
                            </w:r>
                            <w:r>
                              <w:rPr>
                                <w:rFonts w:hint="eastAsia"/>
                                <w:szCs w:val="21"/>
                                <w:lang w:eastAsia="zh-CN"/>
                              </w:rPr>
                              <w:t>、</w:t>
                            </w:r>
                            <w:r>
                              <w:rPr>
                                <w:rFonts w:hint="eastAsia"/>
                                <w:szCs w:val="21"/>
                                <w:lang w:val="en-US" w:eastAsia="zh-CN"/>
                              </w:rPr>
                              <w:t>定量</w:t>
                            </w:r>
                            <w:r>
                              <w:rPr>
                                <w:rFonts w:hint="eastAsia"/>
                                <w:szCs w:val="21"/>
                              </w:rPr>
                              <w:t>评价</w:t>
                            </w:r>
                          </w:p>
                        </w:txbxContent>
                      </wps:txbx>
                      <wps:bodyPr upright="1"/>
                    </wps:wsp>
                  </a:graphicData>
                </a:graphic>
              </wp:anchor>
            </w:drawing>
          </mc:Choice>
          <mc:Fallback>
            <w:pict>
              <v:rect id="_x0000_s1026" o:spid="_x0000_s1026" o:spt="1" style="position:absolute;left:0pt;margin-left:48pt;margin-top:117.65pt;height:21.8pt;width:110.25pt;z-index:251726848;mso-width-relative:page;mso-height-relative:page;" fillcolor="#FFFFFF" filled="t" stroked="t" coordsize="21600,21600" o:gfxdata="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fojQ7ZAAAACgEAAA8AAAAAAAAAAQAg&#10;AAAAIgAAAGRycy9kb3ducmV2LnhtbFBLAQIUABQAAAAIAIdO4kBdsnuhDQIAADUEAAAOAAAAAAAA&#10;AAEAIAAAACgBAABkcnMvZTJvRG9jLnhtbFBLBQYAAAAABgAGAFkBAACnBQAAAAA=&#10;">
                <v:fill on="t" focussize="0,0"/>
                <v:stroke color="#000000" joinstyle="miter"/>
                <v:imagedata o:title=""/>
                <o:lock v:ext="edit" aspectratio="f"/>
                <v:textbox>
                  <w:txbxContent>
                    <w:p>
                      <w:pPr>
                        <w:jc w:val="center"/>
                        <w:rPr>
                          <w:rFonts w:hint="eastAsia"/>
                        </w:rPr>
                      </w:pPr>
                      <w:r>
                        <w:rPr>
                          <w:rFonts w:hint="eastAsia"/>
                          <w:szCs w:val="21"/>
                        </w:rPr>
                        <w:t>定性</w:t>
                      </w:r>
                      <w:r>
                        <w:rPr>
                          <w:rFonts w:hint="eastAsia"/>
                          <w:szCs w:val="21"/>
                          <w:lang w:eastAsia="zh-CN"/>
                        </w:rPr>
                        <w:t>、</w:t>
                      </w:r>
                      <w:r>
                        <w:rPr>
                          <w:rFonts w:hint="eastAsia"/>
                          <w:szCs w:val="21"/>
                          <w:lang w:val="en-US" w:eastAsia="zh-CN"/>
                        </w:rPr>
                        <w:t>定量</w:t>
                      </w:r>
                      <w:r>
                        <w:rPr>
                          <w:rFonts w:hint="eastAsia"/>
                          <w:szCs w:val="21"/>
                        </w:rPr>
                        <w:t>评价</w:t>
                      </w:r>
                    </w:p>
                  </w:txbxContent>
                </v:textbox>
              </v:rect>
            </w:pict>
          </mc:Fallback>
        </mc:AlternateContent>
      </w:r>
      <w:r>
        <w:rPr>
          <w:sz w:val="20"/>
        </w:rPr>
        <mc:AlternateContent>
          <mc:Choice Requires="wps">
            <w:drawing>
              <wp:anchor distT="0" distB="0" distL="114300" distR="114300" simplePos="0" relativeHeight="251722752" behindDoc="0" locked="0" layoutInCell="1" allowOverlap="1">
                <wp:simplePos x="0" y="0"/>
                <wp:positionH relativeFrom="column">
                  <wp:posOffset>1689735</wp:posOffset>
                </wp:positionH>
                <wp:positionV relativeFrom="paragraph">
                  <wp:posOffset>3709035</wp:posOffset>
                </wp:positionV>
                <wp:extent cx="1960245" cy="300990"/>
                <wp:effectExtent l="5080" t="5080" r="15875" b="17780"/>
                <wp:wrapNone/>
                <wp:docPr id="4" name="文本框 4"/>
                <wp:cNvGraphicFramePr/>
                <a:graphic xmlns:a="http://schemas.openxmlformats.org/drawingml/2006/main">
                  <a:graphicData uri="http://schemas.microsoft.com/office/word/2010/wordprocessingShape">
                    <wps:wsp>
                      <wps:cNvSpPr txBox="1"/>
                      <wps:spPr>
                        <a:xfrm>
                          <a:off x="2832735" y="6321425"/>
                          <a:ext cx="1960245" cy="300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szCs w:val="21"/>
                              </w:rPr>
                              <w:t>编制安全现状评价报告</w:t>
                            </w:r>
                          </w:p>
                          <w:p>
                            <w:pPr>
                              <w:ind w:firstLine="560"/>
                            </w:pPr>
                          </w:p>
                        </w:txbxContent>
                      </wps:txbx>
                      <wps:bodyPr upright="1"/>
                    </wps:wsp>
                  </a:graphicData>
                </a:graphic>
              </wp:anchor>
            </w:drawing>
          </mc:Choice>
          <mc:Fallback>
            <w:pict>
              <v:shape id="_x0000_s1026" o:spid="_x0000_s1026" o:spt="202" type="#_x0000_t202" style="position:absolute;left:0pt;margin-left:133.05pt;margin-top:292.05pt;height:23.7pt;width:154.35pt;z-index:251722752;mso-width-relative:page;mso-height-relative:page;" fillcolor="#FFFFFF" filled="t" stroked="t" coordsize="21600,21600" o:gfxdata="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Vwpr9oAAAALAQAA&#10;DwAAAAAAAAABACAAAAAiAAAAZHJzL2Rvd25yZXYueG1sUEsBAhQAFAAAAAgAh07iQHsDtacXAgAA&#10;QgQAAA4AAAAAAAAAAQAgAAAAKQEAAGRycy9lMm9Eb2MueG1sUEsFBgAAAAAGAAYAWQEAALIFAAAA&#10;AA==&#10;">
                <v:fill on="t" focussize="0,0"/>
                <v:stroke color="#000000" joinstyle="miter"/>
                <v:imagedata o:title=""/>
                <o:lock v:ext="edit" aspectratio="f"/>
                <v:textbox>
                  <w:txbxContent>
                    <w:p>
                      <w:pPr>
                        <w:jc w:val="center"/>
                        <w:rPr>
                          <w:rFonts w:hint="eastAsia"/>
                        </w:rPr>
                      </w:pPr>
                      <w:r>
                        <w:rPr>
                          <w:rFonts w:hint="eastAsia"/>
                          <w:szCs w:val="21"/>
                        </w:rPr>
                        <w:t>编制安全现状评价报告</w:t>
                      </w:r>
                    </w:p>
                    <w:p>
                      <w:pPr>
                        <w:ind w:firstLine="560"/>
                      </w:pP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b/>
          <w:sz w:val="24"/>
          <w:szCs w:val="28"/>
        </w:rPr>
      </w:pPr>
      <w:r>
        <w:rPr>
          <w:rFonts w:hint="eastAsia"/>
          <w:b/>
          <w:sz w:val="24"/>
          <w:szCs w:val="28"/>
        </w:rPr>
        <w:t>图1</w:t>
      </w:r>
      <w:r>
        <w:rPr>
          <w:rFonts w:hint="eastAsia"/>
          <w:b/>
          <w:sz w:val="24"/>
          <w:szCs w:val="28"/>
          <w:lang w:val="en-US" w:eastAsia="zh-CN"/>
        </w:rPr>
        <w:t>.4</w:t>
      </w:r>
      <w:r>
        <w:rPr>
          <w:rFonts w:hint="eastAsia"/>
          <w:b/>
          <w:sz w:val="24"/>
          <w:szCs w:val="28"/>
        </w:rPr>
        <w:t>-1</w:t>
      </w:r>
      <w:r>
        <w:rPr>
          <w:b/>
          <w:sz w:val="24"/>
          <w:szCs w:val="28"/>
        </w:rPr>
        <w:t xml:space="preserve">  </w:t>
      </w:r>
      <w:r>
        <w:rPr>
          <w:rFonts w:hint="eastAsia"/>
          <w:b/>
          <w:sz w:val="24"/>
          <w:szCs w:val="28"/>
        </w:rPr>
        <w:t>安全现状评价程序</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sz w:val="28"/>
          <w:szCs w:val="28"/>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AndChars" w:linePitch="312" w:charSpace="0"/>
        </w:sectPr>
      </w:pPr>
    </w:p>
    <w:bookmarkEnd w:id="11"/>
    <w:p>
      <w:pPr>
        <w:pStyle w:val="3"/>
        <w:adjustRightInd w:val="0"/>
        <w:snapToGrid w:val="0"/>
        <w:spacing w:line="360" w:lineRule="auto"/>
        <w:rPr>
          <w:rFonts w:eastAsia="楷体_GB2312"/>
          <w:b/>
          <w:sz w:val="36"/>
          <w:szCs w:val="36"/>
        </w:rPr>
      </w:pPr>
      <w:bookmarkStart w:id="12" w:name="_Toc285310333"/>
      <w:bookmarkStart w:id="13" w:name="_Toc11007"/>
      <w:bookmarkStart w:id="14" w:name="_Toc276394619"/>
      <w:bookmarkStart w:id="15" w:name="_Toc291144363"/>
      <w:bookmarkStart w:id="16" w:name="_Toc244964626"/>
      <w:bookmarkStart w:id="17" w:name="_Toc248650007"/>
      <w:r>
        <w:rPr>
          <w:rFonts w:hint="eastAsia" w:eastAsia="楷体_GB2312"/>
          <w:b/>
          <w:sz w:val="36"/>
          <w:szCs w:val="36"/>
        </w:rPr>
        <w:t>2</w:t>
      </w:r>
      <w:r>
        <w:rPr>
          <w:rFonts w:eastAsia="楷体_GB2312"/>
          <w:b/>
          <w:sz w:val="36"/>
          <w:szCs w:val="36"/>
        </w:rPr>
        <w:t xml:space="preserve"> </w:t>
      </w:r>
      <w:r>
        <w:rPr>
          <w:rFonts w:hint="eastAsia" w:eastAsia="楷体_GB2312"/>
          <w:b/>
          <w:sz w:val="36"/>
          <w:szCs w:val="36"/>
        </w:rPr>
        <w:t>被评价单位基本情况</w:t>
      </w:r>
      <w:bookmarkEnd w:id="12"/>
      <w:bookmarkEnd w:id="13"/>
    </w:p>
    <w:p>
      <w:pPr>
        <w:pStyle w:val="4"/>
        <w:adjustRightInd w:val="0"/>
        <w:snapToGrid w:val="0"/>
        <w:spacing w:before="0" w:after="0" w:line="360" w:lineRule="auto"/>
        <w:rPr>
          <w:rFonts w:ascii="Times New Roman" w:hAnsi="Times New Roman"/>
          <w:b w:val="0"/>
          <w:bCs/>
          <w:szCs w:val="32"/>
        </w:rPr>
      </w:pPr>
      <w:bookmarkStart w:id="18" w:name="_Toc285310334"/>
      <w:bookmarkStart w:id="19" w:name="_Toc3243"/>
      <w:r>
        <w:rPr>
          <w:rFonts w:hint="eastAsia" w:ascii="Times New Roman" w:hAnsi="Times New Roman"/>
          <w:b w:val="0"/>
          <w:bCs/>
          <w:szCs w:val="32"/>
        </w:rPr>
        <w:t>2.1</w:t>
      </w:r>
      <w:bookmarkEnd w:id="18"/>
      <w:r>
        <w:rPr>
          <w:rFonts w:ascii="Times New Roman" w:hAnsi="Times New Roman"/>
          <w:b w:val="0"/>
          <w:bCs/>
          <w:szCs w:val="32"/>
        </w:rPr>
        <w:t xml:space="preserve"> </w:t>
      </w:r>
      <w:r>
        <w:rPr>
          <w:rFonts w:hint="eastAsia" w:ascii="Times New Roman" w:hAnsi="Times New Roman"/>
          <w:b w:val="0"/>
          <w:bCs/>
          <w:szCs w:val="32"/>
        </w:rPr>
        <w:t>企业概况</w:t>
      </w:r>
      <w:bookmarkEnd w:id="19"/>
    </w:p>
    <w:p>
      <w:pPr>
        <w:adjustRightInd w:val="0"/>
        <w:snapToGrid w:val="0"/>
        <w:spacing w:line="360" w:lineRule="auto"/>
        <w:ind w:firstLine="560" w:firstLineChars="200"/>
        <w:rPr>
          <w:sz w:val="28"/>
          <w:szCs w:val="28"/>
        </w:rPr>
      </w:pPr>
      <w:r>
        <w:rPr>
          <w:rFonts w:hint="eastAsia"/>
          <w:sz w:val="28"/>
          <w:szCs w:val="28"/>
        </w:rPr>
        <w:t>斯伦贝谢油田技术（山东）有限公司作为斯伦贝谢在中国的全资独立法人子公司，是集MWD</w:t>
      </w:r>
      <w:r>
        <w:rPr>
          <w:rFonts w:hint="eastAsia"/>
          <w:sz w:val="28"/>
          <w:szCs w:val="28"/>
          <w:lang w:eastAsia="zh-CN"/>
        </w:rPr>
        <w:t>定向施工</w:t>
      </w:r>
      <w:r>
        <w:rPr>
          <w:rFonts w:hint="eastAsia"/>
          <w:sz w:val="28"/>
          <w:szCs w:val="28"/>
        </w:rPr>
        <w:t>、LWD随钻测井仪器的研发、制造、销售及工程技术服务于一身的专业化技术公司。该公司成立于</w:t>
      </w:r>
      <w:r>
        <w:rPr>
          <w:sz w:val="28"/>
          <w:szCs w:val="28"/>
        </w:rPr>
        <w:t>2000</w:t>
      </w:r>
      <w:r>
        <w:rPr>
          <w:rFonts w:hint="eastAsia"/>
          <w:sz w:val="28"/>
          <w:szCs w:val="28"/>
        </w:rPr>
        <w:t>年</w:t>
      </w:r>
      <w:r>
        <w:rPr>
          <w:sz w:val="28"/>
          <w:szCs w:val="28"/>
        </w:rPr>
        <w:t>7</w:t>
      </w:r>
      <w:r>
        <w:rPr>
          <w:rFonts w:hint="eastAsia"/>
          <w:sz w:val="28"/>
          <w:szCs w:val="28"/>
        </w:rPr>
        <w:t>月</w:t>
      </w:r>
      <w:r>
        <w:rPr>
          <w:sz w:val="28"/>
          <w:szCs w:val="28"/>
        </w:rPr>
        <w:t>26</w:t>
      </w:r>
      <w:r>
        <w:rPr>
          <w:rFonts w:hint="eastAsia"/>
          <w:sz w:val="28"/>
          <w:szCs w:val="28"/>
        </w:rPr>
        <w:t>日，住所位于东营市东营区登州路6</w:t>
      </w:r>
      <w:r>
        <w:rPr>
          <w:sz w:val="28"/>
          <w:szCs w:val="28"/>
        </w:rPr>
        <w:t>2</w:t>
      </w:r>
      <w:r>
        <w:rPr>
          <w:rFonts w:hint="eastAsia"/>
          <w:sz w:val="28"/>
          <w:szCs w:val="28"/>
        </w:rPr>
        <w:t>号，公司法定代表人何凤祥，注册资本玖仟伍</w:t>
      </w:r>
      <w:r>
        <w:rPr>
          <w:rFonts w:hint="eastAsia"/>
          <w:color w:val="auto"/>
          <w:sz w:val="28"/>
          <w:szCs w:val="28"/>
        </w:rPr>
        <w:t>佰万元整。公司现有</w:t>
      </w:r>
      <w:r>
        <w:rPr>
          <w:rFonts w:hint="eastAsia"/>
          <w:color w:val="auto"/>
          <w:sz w:val="28"/>
          <w:szCs w:val="28"/>
          <w:lang w:val="en-US" w:eastAsia="zh-CN"/>
        </w:rPr>
        <w:t>员</w:t>
      </w:r>
      <w:r>
        <w:rPr>
          <w:rFonts w:hint="eastAsia"/>
          <w:color w:val="auto"/>
          <w:sz w:val="28"/>
          <w:szCs w:val="28"/>
        </w:rPr>
        <w:t>工</w:t>
      </w:r>
      <w:r>
        <w:rPr>
          <w:rFonts w:hint="eastAsia"/>
          <w:color w:val="auto"/>
          <w:sz w:val="28"/>
          <w:szCs w:val="28"/>
          <w:lang w:val="en-US" w:eastAsia="zh-CN"/>
        </w:rPr>
        <w:t>255人</w:t>
      </w:r>
      <w:r>
        <w:rPr>
          <w:rFonts w:hint="eastAsia"/>
          <w:color w:val="auto"/>
          <w:sz w:val="28"/>
          <w:szCs w:val="28"/>
        </w:rPr>
        <w:t>，</w:t>
      </w:r>
      <w:r>
        <w:rPr>
          <w:rFonts w:hint="eastAsia"/>
          <w:color w:val="auto"/>
          <w:sz w:val="28"/>
          <w:szCs w:val="28"/>
          <w:lang w:val="en-US" w:eastAsia="zh-CN"/>
        </w:rPr>
        <w:t>其中项目部现场钻井（定向施工）作业人员为99人</w:t>
      </w:r>
      <w:r>
        <w:rPr>
          <w:rFonts w:hint="eastAsia"/>
          <w:sz w:val="28"/>
          <w:szCs w:val="28"/>
          <w:lang w:val="en-US" w:eastAsia="zh-CN"/>
        </w:rPr>
        <w:t>，经营范围包括定向钻井、重新钻井；井下作业、试油；测井、测试、录井；井架的建立、修复和拆除；压裂作业；为石油和天然气开采提供的其他服务活动；页岩气技术咨询及服务；化工石油工程施工；石油钻采设备及仪器的技术开发、服务（不含中介服务）、生产、维修、租赁、产品销售及进出口；计算机及外设销售；外协承揽加工（依法须经批准的项目，经相关部门批准后方可开展经营活动）</w:t>
      </w:r>
      <w:r>
        <w:rPr>
          <w:rFonts w:hint="eastAsia"/>
          <w:sz w:val="28"/>
          <w:szCs w:val="28"/>
        </w:rPr>
        <w:t>。</w:t>
      </w:r>
    </w:p>
    <w:p>
      <w:pPr>
        <w:adjustRightInd w:val="0"/>
        <w:snapToGrid w:val="0"/>
        <w:spacing w:line="360" w:lineRule="auto"/>
        <w:ind w:firstLine="560" w:firstLineChars="200"/>
        <w:rPr>
          <w:sz w:val="28"/>
          <w:szCs w:val="28"/>
        </w:rPr>
      </w:pPr>
      <w:r>
        <w:rPr>
          <w:rFonts w:hint="eastAsia" w:cs="Times New Roman"/>
          <w:color w:val="000000"/>
          <w:sz w:val="28"/>
          <w:szCs w:val="28"/>
          <w:lang w:val="en-US" w:eastAsia="zh-CN"/>
        </w:rPr>
        <w:t>该</w:t>
      </w:r>
      <w:r>
        <w:rPr>
          <w:rFonts w:hint="default" w:ascii="Times New Roman" w:hAnsi="Times New Roman" w:eastAsia="宋体" w:cs="Times New Roman"/>
          <w:color w:val="000000"/>
          <w:sz w:val="28"/>
          <w:szCs w:val="28"/>
        </w:rPr>
        <w:t>公司</w:t>
      </w:r>
      <w:r>
        <w:rPr>
          <w:rFonts w:hint="default" w:ascii="Times New Roman" w:hAnsi="Times New Roman" w:cs="Times New Roman"/>
          <w:color w:val="000000"/>
          <w:sz w:val="28"/>
          <w:szCs w:val="28"/>
          <w:lang w:val="en-US" w:eastAsia="zh-CN"/>
        </w:rPr>
        <w:t>于200</w:t>
      </w:r>
      <w:r>
        <w:rPr>
          <w:rFonts w:hint="eastAsia" w:cs="Times New Roman"/>
          <w:color w:val="000000"/>
          <w:sz w:val="28"/>
          <w:szCs w:val="28"/>
          <w:lang w:val="en-US" w:eastAsia="zh-CN"/>
        </w:rPr>
        <w:t>7</w:t>
      </w:r>
      <w:r>
        <w:rPr>
          <w:rFonts w:hint="default" w:ascii="Times New Roman" w:hAnsi="Times New Roman" w:cs="Times New Roman"/>
          <w:color w:val="000000"/>
          <w:sz w:val="28"/>
          <w:szCs w:val="28"/>
          <w:lang w:val="en-US" w:eastAsia="zh-CN"/>
        </w:rPr>
        <w:t>年首次取得安全生产许可证，201</w:t>
      </w:r>
      <w:r>
        <w:rPr>
          <w:rFonts w:hint="eastAsia" w:cs="Times New Roman"/>
          <w:color w:val="000000"/>
          <w:sz w:val="28"/>
          <w:szCs w:val="28"/>
          <w:lang w:val="en-US" w:eastAsia="zh-CN"/>
        </w:rPr>
        <w:t>7</w:t>
      </w:r>
      <w:r>
        <w:rPr>
          <w:rFonts w:hint="default" w:ascii="Times New Roman" w:hAnsi="Times New Roman" w:cs="Times New Roman"/>
          <w:color w:val="000000"/>
          <w:sz w:val="28"/>
          <w:szCs w:val="28"/>
          <w:lang w:val="en-US" w:eastAsia="zh-CN"/>
        </w:rPr>
        <w:t>年</w:t>
      </w:r>
      <w:r>
        <w:rPr>
          <w:rFonts w:hint="eastAsia" w:cs="Times New Roman"/>
          <w:color w:val="000000"/>
          <w:sz w:val="28"/>
          <w:szCs w:val="28"/>
          <w:lang w:val="en-US" w:eastAsia="zh-CN"/>
        </w:rPr>
        <w:t>2月对</w:t>
      </w:r>
      <w:r>
        <w:rPr>
          <w:rFonts w:hint="default" w:ascii="Times New Roman" w:hAnsi="Times New Roman" w:cs="Times New Roman"/>
          <w:color w:val="000000"/>
          <w:sz w:val="28"/>
          <w:szCs w:val="28"/>
          <w:lang w:val="en-US" w:eastAsia="zh-CN"/>
        </w:rPr>
        <w:t>安全生产许可证</w:t>
      </w:r>
      <w:r>
        <w:rPr>
          <w:rFonts w:hint="eastAsia" w:cs="Times New Roman"/>
          <w:color w:val="000000"/>
          <w:sz w:val="28"/>
          <w:szCs w:val="28"/>
          <w:lang w:val="en-US" w:eastAsia="zh-CN"/>
        </w:rPr>
        <w:t>办理了变更，有效期至2019年12月</w:t>
      </w:r>
      <w:r>
        <w:rPr>
          <w:rFonts w:hint="default" w:ascii="Times New Roman" w:hAnsi="Times New Roman" w:cs="Times New Roman"/>
          <w:color w:val="000000"/>
          <w:sz w:val="28"/>
          <w:szCs w:val="28"/>
          <w:lang w:val="en-US" w:eastAsia="zh-CN"/>
        </w:rPr>
        <w:t>。</w:t>
      </w:r>
      <w:r>
        <w:rPr>
          <w:rFonts w:hint="eastAsia" w:cs="Times New Roman"/>
          <w:color w:val="000000"/>
          <w:sz w:val="28"/>
          <w:szCs w:val="28"/>
          <w:lang w:val="en-US" w:eastAsia="zh-CN"/>
        </w:rPr>
        <w:t>依据</w:t>
      </w:r>
      <w:r>
        <w:rPr>
          <w:rFonts w:hint="default" w:ascii="Times New Roman" w:hAnsi="Times New Roman" w:cs="Times New Roman"/>
          <w:color w:val="000000"/>
          <w:sz w:val="28"/>
          <w:szCs w:val="28"/>
          <w:lang w:val="en-US" w:eastAsia="zh-CN"/>
        </w:rPr>
        <w:t>2019年7月31日山东省应急管理厅发布的《关于石油天然气技术服务企业不再实施安全许可的通知》（鲁应急函</w:t>
      </w:r>
      <w:r>
        <w:rPr>
          <w:rFonts w:hint="default" w:ascii="Times New Roman" w:hAnsi="Times New Roman" w:eastAsia="宋体" w:cs="Times New Roman"/>
          <w:color w:val="000000"/>
          <w:sz w:val="28"/>
          <w:szCs w:val="28"/>
          <w:highlight w:val="none"/>
        </w:rPr>
        <w:t>[201</w:t>
      </w:r>
      <w:r>
        <w:rPr>
          <w:rFonts w:hint="default" w:ascii="Times New Roman" w:hAnsi="Times New Roman" w:cs="Times New Roman"/>
          <w:color w:val="000000"/>
          <w:sz w:val="28"/>
          <w:szCs w:val="28"/>
          <w:highlight w:val="none"/>
          <w:lang w:val="en-US" w:eastAsia="zh-CN"/>
        </w:rPr>
        <w:t>9</w:t>
      </w:r>
      <w:r>
        <w:rPr>
          <w:rFonts w:hint="default" w:ascii="Times New Roman" w:hAnsi="Times New Roman" w:eastAsia="宋体" w:cs="Times New Roman"/>
          <w:color w:val="000000"/>
          <w:sz w:val="28"/>
          <w:szCs w:val="28"/>
          <w:highlight w:val="none"/>
        </w:rPr>
        <w:t>]</w:t>
      </w:r>
      <w:r>
        <w:rPr>
          <w:rFonts w:hint="default" w:ascii="Times New Roman" w:hAnsi="Times New Roman" w:cs="Times New Roman"/>
          <w:color w:val="000000"/>
          <w:sz w:val="28"/>
          <w:szCs w:val="28"/>
          <w:lang w:val="en-US" w:eastAsia="zh-CN"/>
        </w:rPr>
        <w:t>46号），公司安全生产许可证于20</w:t>
      </w:r>
      <w:r>
        <w:rPr>
          <w:rFonts w:hint="eastAsia" w:cs="Times New Roman"/>
          <w:color w:val="000000"/>
          <w:sz w:val="28"/>
          <w:szCs w:val="28"/>
          <w:lang w:val="en-US" w:eastAsia="zh-CN"/>
        </w:rPr>
        <w:t>19</w:t>
      </w:r>
      <w:r>
        <w:rPr>
          <w:rFonts w:hint="default" w:ascii="Times New Roman" w:hAnsi="Times New Roman" w:cs="Times New Roman"/>
          <w:color w:val="000000"/>
          <w:sz w:val="28"/>
          <w:szCs w:val="28"/>
          <w:lang w:val="en-US" w:eastAsia="zh-CN"/>
        </w:rPr>
        <w:t>年</w:t>
      </w:r>
      <w:r>
        <w:rPr>
          <w:rFonts w:hint="eastAsia" w:cs="Times New Roman"/>
          <w:color w:val="000000"/>
          <w:sz w:val="28"/>
          <w:szCs w:val="28"/>
          <w:lang w:val="en-US" w:eastAsia="zh-CN"/>
        </w:rPr>
        <w:t>12月11日</w:t>
      </w:r>
      <w:r>
        <w:rPr>
          <w:rFonts w:hint="default" w:ascii="Times New Roman" w:hAnsi="Times New Roman" w:cs="Times New Roman"/>
          <w:color w:val="000000"/>
          <w:sz w:val="28"/>
          <w:szCs w:val="28"/>
          <w:lang w:val="en-US" w:eastAsia="zh-CN"/>
        </w:rPr>
        <w:t>到期后未进行</w:t>
      </w:r>
      <w:r>
        <w:rPr>
          <w:rFonts w:hint="eastAsia" w:cs="Times New Roman"/>
          <w:color w:val="000000"/>
          <w:sz w:val="28"/>
          <w:szCs w:val="28"/>
          <w:lang w:val="en-US" w:eastAsia="zh-CN"/>
        </w:rPr>
        <w:t>延期</w:t>
      </w:r>
      <w:r>
        <w:rPr>
          <w:rFonts w:hint="default" w:ascii="Times New Roman" w:hAnsi="Times New Roman" w:cs="Times New Roman"/>
          <w:color w:val="000000"/>
          <w:sz w:val="28"/>
          <w:szCs w:val="28"/>
          <w:lang w:val="en-US" w:eastAsia="zh-CN"/>
        </w:rPr>
        <w:t>。根据《关于对钻井、物探、测井、录井、井下作业、油建企业实施安全生产许可的通知》（鲁应急函</w:t>
      </w:r>
      <w:r>
        <w:rPr>
          <w:rFonts w:hint="default" w:ascii="Times New Roman" w:hAnsi="Times New Roman" w:eastAsia="宋体" w:cs="Times New Roman"/>
          <w:color w:val="000000"/>
          <w:sz w:val="28"/>
          <w:szCs w:val="28"/>
          <w:highlight w:val="none"/>
        </w:rPr>
        <w:t>[20</w:t>
      </w:r>
      <w:r>
        <w:rPr>
          <w:rFonts w:hint="default" w:ascii="Times New Roman" w:hAnsi="Times New Roman" w:cs="Times New Roman"/>
          <w:color w:val="000000"/>
          <w:sz w:val="28"/>
          <w:szCs w:val="28"/>
          <w:highlight w:val="none"/>
          <w:lang w:val="en-US" w:eastAsia="zh-CN"/>
        </w:rPr>
        <w:t>21</w:t>
      </w:r>
      <w:r>
        <w:rPr>
          <w:rFonts w:hint="default" w:ascii="Times New Roman" w:hAnsi="Times New Roman" w:eastAsia="宋体" w:cs="Times New Roman"/>
          <w:color w:val="000000"/>
          <w:sz w:val="28"/>
          <w:szCs w:val="28"/>
          <w:highlight w:val="none"/>
        </w:rPr>
        <w:t>]</w:t>
      </w:r>
      <w:r>
        <w:rPr>
          <w:rFonts w:hint="default" w:ascii="Times New Roman" w:hAnsi="Times New Roman" w:cs="Times New Roman"/>
          <w:color w:val="000000"/>
          <w:sz w:val="28"/>
          <w:szCs w:val="28"/>
          <w:lang w:val="en-US" w:eastAsia="zh-CN"/>
        </w:rPr>
        <w:t>86号）、《东营市应急管理局关于进一步规范非煤矿矿山《安全生产许可证》颁发管理有关问题的函》（东应急函字</w:t>
      </w:r>
      <w:r>
        <w:rPr>
          <w:rFonts w:hint="default" w:ascii="Times New Roman" w:hAnsi="Times New Roman" w:eastAsia="宋体" w:cs="Times New Roman"/>
          <w:color w:val="000000"/>
          <w:sz w:val="28"/>
          <w:szCs w:val="28"/>
          <w:highlight w:val="none"/>
        </w:rPr>
        <w:t>[20</w:t>
      </w:r>
      <w:r>
        <w:rPr>
          <w:rFonts w:hint="default" w:ascii="Times New Roman" w:hAnsi="Times New Roman" w:cs="Times New Roman"/>
          <w:color w:val="000000"/>
          <w:sz w:val="28"/>
          <w:szCs w:val="28"/>
          <w:highlight w:val="none"/>
          <w:lang w:val="en-US" w:eastAsia="zh-CN"/>
        </w:rPr>
        <w:t>21</w:t>
      </w:r>
      <w:r>
        <w:rPr>
          <w:rFonts w:hint="default" w:ascii="Times New Roman" w:hAnsi="Times New Roman" w:eastAsia="宋体" w:cs="Times New Roman"/>
          <w:color w:val="000000"/>
          <w:sz w:val="28"/>
          <w:szCs w:val="28"/>
          <w:highlight w:val="none"/>
        </w:rPr>
        <w:t>]</w:t>
      </w:r>
      <w:r>
        <w:rPr>
          <w:rFonts w:hint="default" w:ascii="Times New Roman" w:hAnsi="Times New Roman" w:cs="Times New Roman"/>
          <w:color w:val="000000"/>
          <w:sz w:val="28"/>
          <w:szCs w:val="28"/>
          <w:lang w:val="en-US" w:eastAsia="zh-CN"/>
        </w:rPr>
        <w:t>50号）等文件要求，</w:t>
      </w:r>
      <w:r>
        <w:rPr>
          <w:rFonts w:hint="eastAsia"/>
          <w:sz w:val="28"/>
          <w:szCs w:val="28"/>
        </w:rPr>
        <w:t>斯伦贝谢油田技术（山东）有限公司</w:t>
      </w:r>
      <w:r>
        <w:rPr>
          <w:rFonts w:hint="default" w:ascii="Times New Roman" w:hAnsi="Times New Roman" w:cs="Times New Roman"/>
          <w:color w:val="000000"/>
          <w:sz w:val="28"/>
          <w:szCs w:val="28"/>
          <w:lang w:val="en-US" w:eastAsia="zh-CN"/>
        </w:rPr>
        <w:t>现申请取得</w:t>
      </w:r>
      <w:r>
        <w:rPr>
          <w:rFonts w:hint="eastAsia" w:cs="Times New Roman"/>
          <w:color w:val="000000"/>
          <w:sz w:val="28"/>
          <w:szCs w:val="28"/>
          <w:lang w:val="en-US" w:eastAsia="zh-CN"/>
        </w:rPr>
        <w:t>钻井（定向施工）</w:t>
      </w:r>
      <w:r>
        <w:rPr>
          <w:rFonts w:hint="default" w:ascii="Times New Roman" w:hAnsi="Times New Roman" w:cs="Times New Roman"/>
          <w:color w:val="000000"/>
          <w:sz w:val="28"/>
          <w:szCs w:val="28"/>
          <w:lang w:val="en-US" w:eastAsia="zh-CN"/>
        </w:rPr>
        <w:t>作业项目安全生产许可证</w:t>
      </w:r>
      <w:r>
        <w:rPr>
          <w:rFonts w:hint="eastAsia"/>
          <w:sz w:val="28"/>
          <w:szCs w:val="28"/>
        </w:rPr>
        <w:t>。</w:t>
      </w:r>
    </w:p>
    <w:p>
      <w:pPr>
        <w:pStyle w:val="4"/>
        <w:adjustRightInd w:val="0"/>
        <w:snapToGrid w:val="0"/>
        <w:spacing w:before="0" w:after="0" w:line="360" w:lineRule="auto"/>
        <w:rPr>
          <w:rFonts w:ascii="Times New Roman" w:hAnsi="Times New Roman"/>
          <w:b w:val="0"/>
          <w:bCs/>
          <w:szCs w:val="32"/>
        </w:rPr>
      </w:pPr>
      <w:bookmarkStart w:id="20" w:name="_Toc510"/>
      <w:r>
        <w:rPr>
          <w:rFonts w:hint="eastAsia" w:ascii="Times New Roman" w:hAnsi="Times New Roman"/>
          <w:b w:val="0"/>
          <w:bCs/>
          <w:szCs w:val="32"/>
        </w:rPr>
        <w:t>2.</w:t>
      </w:r>
      <w:r>
        <w:rPr>
          <w:rFonts w:ascii="Times New Roman" w:hAnsi="Times New Roman"/>
          <w:b w:val="0"/>
          <w:bCs/>
          <w:szCs w:val="32"/>
        </w:rPr>
        <w:t xml:space="preserve">2 </w:t>
      </w:r>
      <w:r>
        <w:rPr>
          <w:rFonts w:hint="eastAsia" w:ascii="Times New Roman" w:hAnsi="Times New Roman"/>
          <w:b w:val="0"/>
          <w:bCs/>
          <w:szCs w:val="32"/>
        </w:rPr>
        <w:t>机构设置</w:t>
      </w:r>
      <w:bookmarkEnd w:id="20"/>
    </w:p>
    <w:p>
      <w:pPr>
        <w:adjustRightInd w:val="0"/>
        <w:snapToGrid w:val="0"/>
        <w:spacing w:line="360" w:lineRule="auto"/>
        <w:ind w:firstLine="560" w:firstLineChars="200"/>
        <w:jc w:val="left"/>
        <w:rPr>
          <w:rFonts w:hint="eastAsia"/>
          <w:sz w:val="28"/>
          <w:szCs w:val="28"/>
        </w:rPr>
      </w:pPr>
      <w:r>
        <w:rPr>
          <w:rFonts w:hint="eastAsia"/>
          <w:sz w:val="28"/>
          <w:szCs w:val="28"/>
          <w:lang w:eastAsia="zh-CN"/>
        </w:rPr>
        <w:t>斯伦贝谢油田技术（山东）有限公司</w:t>
      </w:r>
      <w:r>
        <w:rPr>
          <w:rFonts w:hint="eastAsia"/>
          <w:sz w:val="28"/>
          <w:szCs w:val="28"/>
        </w:rPr>
        <w:t>设置有</w:t>
      </w:r>
      <w:r>
        <w:rPr>
          <w:rFonts w:hint="eastAsia"/>
          <w:sz w:val="28"/>
          <w:szCs w:val="28"/>
          <w:lang w:val="en-US" w:eastAsia="zh-CN"/>
        </w:rPr>
        <w:t>行政部、安全部、作业部、仪器制造部、市场部、销售部、人事部、采购部、财务部以及各项目部</w:t>
      </w:r>
      <w:r>
        <w:rPr>
          <w:rFonts w:hint="eastAsia"/>
          <w:sz w:val="28"/>
          <w:szCs w:val="28"/>
          <w:lang w:eastAsia="zh-CN"/>
        </w:rPr>
        <w:t>（</w:t>
      </w:r>
      <w:r>
        <w:rPr>
          <w:rFonts w:hint="eastAsia"/>
          <w:sz w:val="28"/>
          <w:szCs w:val="28"/>
          <w:lang w:val="en-US" w:eastAsia="zh-CN"/>
        </w:rPr>
        <w:t>共包括7个项目部）</w:t>
      </w:r>
      <w:r>
        <w:rPr>
          <w:rFonts w:hint="eastAsia"/>
          <w:sz w:val="28"/>
          <w:szCs w:val="28"/>
        </w:rPr>
        <w:t>。如图2</w:t>
      </w:r>
      <w:r>
        <w:rPr>
          <w:rFonts w:hint="eastAsia"/>
          <w:sz w:val="28"/>
          <w:szCs w:val="28"/>
          <w:lang w:val="en-US" w:eastAsia="zh-CN"/>
        </w:rPr>
        <w:t>.2</w:t>
      </w:r>
      <w:r>
        <w:rPr>
          <w:rFonts w:hint="eastAsia"/>
          <w:sz w:val="28"/>
          <w:szCs w:val="28"/>
        </w:rPr>
        <w:t>-1所示。</w:t>
      </w:r>
    </w:p>
    <w:p>
      <w:pPr>
        <w:pStyle w:val="2"/>
        <w:rPr>
          <w:rFonts w:hint="eastAsia"/>
          <w:sz w:val="28"/>
          <w:szCs w:val="28"/>
        </w:rPr>
      </w:pPr>
      <w:r>
        <w:rPr>
          <w:sz w:val="28"/>
        </w:rPr>
        <mc:AlternateContent>
          <mc:Choice Requires="wps">
            <w:drawing>
              <wp:anchor distT="0" distB="0" distL="114300" distR="114300" simplePos="0" relativeHeight="251687936" behindDoc="0" locked="0" layoutInCell="1" allowOverlap="1">
                <wp:simplePos x="0" y="0"/>
                <wp:positionH relativeFrom="column">
                  <wp:posOffset>1938655</wp:posOffset>
                </wp:positionH>
                <wp:positionV relativeFrom="paragraph">
                  <wp:posOffset>302895</wp:posOffset>
                </wp:positionV>
                <wp:extent cx="1270" cy="334645"/>
                <wp:effectExtent l="36830" t="0" r="38100" b="8255"/>
                <wp:wrapNone/>
                <wp:docPr id="57" name="直接连接符 57"/>
                <wp:cNvGraphicFramePr/>
                <a:graphic xmlns:a="http://schemas.openxmlformats.org/drawingml/2006/main">
                  <a:graphicData uri="http://schemas.microsoft.com/office/word/2010/wordprocessingShape">
                    <wps:wsp>
                      <wps:cNvCnPr/>
                      <wps:spPr>
                        <a:xfrm>
                          <a:off x="3090545" y="1225550"/>
                          <a:ext cx="1270" cy="334645"/>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2.65pt;margin-top:23.85pt;height:26.35pt;width:0.1pt;z-index:251687936;mso-width-relative:page;mso-height-relative:page;" filled="f" stroked="t" coordsize="21600,21600" o:gfxdata="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Q1Kk2AAAAAoBAAAP&#10;AAAAAAAAAAEAIAAAACIAAABkcnMvZG93bnJldi54bWxQSwECFAAUAAAACACHTuJAHJ1K6RgCAAAH&#10;BAAADgAAAAAAAAABACAAAAAnAQAAZHJzL2Uyb0RvYy54bWxQSwUGAAAAAAYABgBZAQAAsQUAAAAA&#10;">
                <v:fill on="f" focussize="0,0"/>
                <v:stroke weight="0.5pt" color="#000000 [3200]"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704320" behindDoc="0" locked="0" layoutInCell="1" allowOverlap="1">
                <wp:simplePos x="0" y="0"/>
                <wp:positionH relativeFrom="column">
                  <wp:posOffset>4584065</wp:posOffset>
                </wp:positionH>
                <wp:positionV relativeFrom="paragraph">
                  <wp:posOffset>160655</wp:posOffset>
                </wp:positionV>
                <wp:extent cx="0" cy="1670685"/>
                <wp:effectExtent l="4445" t="0" r="14605" b="5715"/>
                <wp:wrapNone/>
                <wp:docPr id="69" name="直接连接符 69"/>
                <wp:cNvGraphicFramePr/>
                <a:graphic xmlns:a="http://schemas.openxmlformats.org/drawingml/2006/main">
                  <a:graphicData uri="http://schemas.microsoft.com/office/word/2010/wordprocessingShape">
                    <wps:wsp>
                      <wps:cNvCnPr/>
                      <wps:spPr>
                        <a:xfrm>
                          <a:off x="5727065" y="3199130"/>
                          <a:ext cx="0" cy="1670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60.95pt;margin-top:12.65pt;height:131.55pt;width:0pt;z-index:251704320;mso-width-relative:page;mso-height-relative:page;" filled="f" stroked="t" coordsize="21600,21600" o:gfxdata="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djIUtYAAAAKAQAADwAAAAAAAAABACAAAAAiAAAAZHJzL2Rvd25yZXYueG1sUEsBAhQAFAAA&#10;AAgAh07iQOOw0VjxAQAAvwMAAA4AAAAAAAAAAQAgAAAAJQEAAGRycy9lMm9Eb2MueG1sUEsFBgAA&#10;AAAGAAYAWQEAAIgFA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1702272" behindDoc="0" locked="0" layoutInCell="1" allowOverlap="1">
                <wp:simplePos x="0" y="0"/>
                <wp:positionH relativeFrom="column">
                  <wp:posOffset>2406650</wp:posOffset>
                </wp:positionH>
                <wp:positionV relativeFrom="paragraph">
                  <wp:posOffset>159385</wp:posOffset>
                </wp:positionV>
                <wp:extent cx="2186305" cy="1270"/>
                <wp:effectExtent l="0" t="0" r="0" b="0"/>
                <wp:wrapNone/>
                <wp:docPr id="67" name="直接连接符 67"/>
                <wp:cNvGraphicFramePr/>
                <a:graphic xmlns:a="http://schemas.openxmlformats.org/drawingml/2006/main">
                  <a:graphicData uri="http://schemas.microsoft.com/office/word/2010/wordprocessingShape">
                    <wps:wsp>
                      <wps:cNvCnPr>
                        <a:stCxn id="37" idx="3"/>
                      </wps:cNvCnPr>
                      <wps:spPr>
                        <a:xfrm>
                          <a:off x="3549650" y="3197860"/>
                          <a:ext cx="218630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9.5pt;margin-top:12.55pt;height:0.1pt;width:172.15pt;z-index:251702272;mso-width-relative:page;mso-height-relative:page;" filled="f" stroked="t" coordsize="21600,21600" o:gfxdata="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RRUr1wAAAAkBAAAPAAAAAAAAAAEAIAAAACIAAABkcnMv&#10;ZG93bnJldi54bWxQSwECFAAUAAAACACHTuJADwKu8QQCAADpAwAADgAAAAAAAAABACAAAAAmAQAA&#10;ZHJzL2Uyb0RvYy54bWxQSwUGAAAAAAYABgBZAQAAnAU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1488440</wp:posOffset>
                </wp:positionH>
                <wp:positionV relativeFrom="paragraph">
                  <wp:posOffset>7620</wp:posOffset>
                </wp:positionV>
                <wp:extent cx="918210" cy="303530"/>
                <wp:effectExtent l="6350" t="6350" r="8890" b="13970"/>
                <wp:wrapNone/>
                <wp:docPr id="37" name="矩形 37"/>
                <wp:cNvGraphicFramePr/>
                <a:graphic xmlns:a="http://schemas.openxmlformats.org/drawingml/2006/main">
                  <a:graphicData uri="http://schemas.microsoft.com/office/word/2010/wordprocessingShape">
                    <wps:wsp>
                      <wps:cNvSpPr/>
                      <wps:spPr>
                        <a:xfrm>
                          <a:off x="3107690" y="6079490"/>
                          <a:ext cx="918210" cy="30353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color w:val="D9D9D9" w:themeColor="background1" w:themeShade="D9"/>
                                <w:lang w:val="en-US" w:eastAsia="zh-CN"/>
                                <w14:shadow w14:blurRad="63500" w14:dist="50800" w14:dir="18900000">
                                  <w14:srgbClr w14:val="000000">
                                    <w14:alpha w14:val="50000"/>
                                  </w14:srgbClr>
                                </w14:shadow>
                              </w:rPr>
                            </w:pPr>
                            <w:r>
                              <w:rPr>
                                <w:rFonts w:hint="eastAsia"/>
                                <w:lang w:val="en-US" w:eastAsia="zh-CN"/>
                              </w:rPr>
                              <w:t>总经理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2pt;margin-top:0.6pt;height:23.9pt;width:72.3pt;z-index:251668480;v-text-anchor:middle;mso-width-relative:page;mso-height-relative:page;" filled="f" stroked="t" coordsize="21600,21600" o:gfxdata="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&#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fqjmA1wAAAAgBAAAPAAAAAAAAAAEAIAAAACIAAABk&#10;cnMvZG93bnJldi54bWxQSwECFAAUAAAACACHTuJARSVT7XkCAADjBAAADgAAAAAAAAABACAAAAAm&#10;AQAAZHJzL2Uyb0RvYy54bWxQSwUGAAAAAAYABgBZAQAAEQYAAAAA&#10;">
                <v:fill on="f" focussize="0,0"/>
                <v:stroke weight="1pt" color="#000000 [3213]" miterlimit="8" joinstyle="miter"/>
                <v:imagedata o:title=""/>
                <o:lock v:ext="edit" aspectratio="f"/>
                <v:textbox>
                  <w:txbxContent>
                    <w:p>
                      <w:pPr>
                        <w:jc w:val="center"/>
                        <w:rPr>
                          <w:rFonts w:hint="eastAsia" w:eastAsia="宋体"/>
                          <w:color w:val="D9D9D9" w:themeColor="background1" w:themeShade="D9"/>
                          <w:lang w:val="en-US" w:eastAsia="zh-CN"/>
                          <w14:shadow w14:blurRad="63500" w14:dist="50800" w14:dir="18900000">
                            <w14:srgbClr w14:val="000000">
                              <w14:alpha w14:val="50000"/>
                            </w14:srgbClr>
                          </w14:shadow>
                        </w:rPr>
                      </w:pPr>
                      <w:r>
                        <w:rPr>
                          <w:rFonts w:hint="eastAsia"/>
                          <w:lang w:val="en-US" w:eastAsia="zh-CN"/>
                        </w:rPr>
                        <w:t>总经理</w:t>
                      </w:r>
                    </w:p>
                  </w:txbxContent>
                </v:textbox>
              </v:rect>
            </w:pict>
          </mc:Fallback>
        </mc:AlternateContent>
      </w:r>
    </w:p>
    <w:p>
      <w:pPr>
        <w:pStyle w:val="2"/>
        <w:rPr>
          <w:rFonts w:hint="eastAsia"/>
          <w:sz w:val="28"/>
          <w:szCs w:val="28"/>
        </w:rPr>
      </w:pPr>
      <w:r>
        <w:rPr>
          <w:sz w:val="28"/>
        </w:rPr>
        <mc:AlternateContent>
          <mc:Choice Requires="wps">
            <w:drawing>
              <wp:anchor distT="0" distB="0" distL="114300" distR="114300" simplePos="0" relativeHeight="251689984" behindDoc="0" locked="0" layoutInCell="1" allowOverlap="1">
                <wp:simplePos x="0" y="0"/>
                <wp:positionH relativeFrom="column">
                  <wp:posOffset>3133725</wp:posOffset>
                </wp:positionH>
                <wp:positionV relativeFrom="paragraph">
                  <wp:posOffset>136525</wp:posOffset>
                </wp:positionV>
                <wp:extent cx="5080" cy="184150"/>
                <wp:effectExtent l="34925" t="0" r="36195" b="6350"/>
                <wp:wrapNone/>
                <wp:docPr id="59" name="直接连接符 59"/>
                <wp:cNvGraphicFramePr/>
                <a:graphic xmlns:a="http://schemas.openxmlformats.org/drawingml/2006/main">
                  <a:graphicData uri="http://schemas.microsoft.com/office/word/2010/wordprocessingShape">
                    <wps:wsp>
                      <wps:cNvCnPr/>
                      <wps:spPr>
                        <a:xfrm>
                          <a:off x="4274820" y="1371600"/>
                          <a:ext cx="5080" cy="184150"/>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6.75pt;margin-top:10.75pt;height:14.5pt;width:0.4pt;z-index:251689984;mso-width-relative:page;mso-height-relative:page;" filled="f" stroked="t" coordsize="21600,21600" o:gfxdata="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V2Em2gAAAAkB&#10;AAAPAAAAAAAAAAEAIAAAACIAAABkcnMvZG93bnJldi54bWxQSwECFAAUAAAACACHTuJA50ICZBkC&#10;AAAHBAAADgAAAAAAAAABACAAAAApAQAAZHJzL2Uyb0RvYy54bWxQSwUGAAAAAAYABgBZAQAAtAUA&#10;AAAA&#10;">
                <v:fill on="f" focussize="0,0"/>
                <v:stroke weight="0.5pt" color="#000000 [3200]"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688960" behindDoc="0" locked="0" layoutInCell="1" allowOverlap="1">
                <wp:simplePos x="0" y="0"/>
                <wp:positionH relativeFrom="column">
                  <wp:posOffset>760730</wp:posOffset>
                </wp:positionH>
                <wp:positionV relativeFrom="paragraph">
                  <wp:posOffset>127000</wp:posOffset>
                </wp:positionV>
                <wp:extent cx="4445" cy="177165"/>
                <wp:effectExtent l="35560" t="0" r="36195" b="13335"/>
                <wp:wrapNone/>
                <wp:docPr id="58" name="直接连接符 58"/>
                <wp:cNvGraphicFramePr/>
                <a:graphic xmlns:a="http://schemas.openxmlformats.org/drawingml/2006/main">
                  <a:graphicData uri="http://schemas.microsoft.com/office/word/2010/wordprocessingShape">
                    <wps:wsp>
                      <wps:cNvCnPr/>
                      <wps:spPr>
                        <a:xfrm>
                          <a:off x="1878330" y="1388745"/>
                          <a:ext cx="4445" cy="177165"/>
                        </a:xfrm>
                        <a:prstGeom prst="line">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9pt;margin-top:10pt;height:13.95pt;width:0.35pt;z-index:251688960;mso-width-relative:page;mso-height-relative:page;" filled="f" stroked="t" coordsize="21600,21600" o:gfxdata="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96Hj7YAAAACQEAAA8A&#10;AAAAAAAAAQAgAAAAIgAAAGRycy9kb3ducmV2LnhtbFBLAQIUABQAAAAIAIdO4kBAUdCoFwIAAAcE&#10;AAAOAAAAAAAAAAEAIAAAACcBAABkcnMvZTJvRG9jLnhtbFBLBQYAAAAABgAGAFkBAACwBQAAAAA=&#10;">
                <v:fill on="f" focussize="0,0"/>
                <v:stroke weight="0.5pt" color="#000000 [3213]"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1503680</wp:posOffset>
                </wp:positionH>
                <wp:positionV relativeFrom="paragraph">
                  <wp:posOffset>325120</wp:posOffset>
                </wp:positionV>
                <wp:extent cx="842645" cy="301625"/>
                <wp:effectExtent l="6350" t="6350" r="8255" b="15875"/>
                <wp:wrapNone/>
                <wp:docPr id="39" name="矩形 39"/>
                <wp:cNvGraphicFramePr/>
                <a:graphic xmlns:a="http://schemas.openxmlformats.org/drawingml/2006/main">
                  <a:graphicData uri="http://schemas.microsoft.com/office/word/2010/wordprocessingShape">
                    <wps:wsp>
                      <wps:cNvSpPr/>
                      <wps:spPr>
                        <a:xfrm>
                          <a:off x="0" y="0"/>
                          <a:ext cx="842645" cy="3016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安全副总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4pt;margin-top:25.6pt;height:23.75pt;width:66.35pt;z-index:251670528;v-text-anchor:middle;mso-width-relative:page;mso-height-relative:page;" filled="f" stroked="t" coordsize="21600,21600" o:gfxdata="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0bKo82QAAAAkBAAAPAAAAAAAAAAEAIAAAACIAAABkcnMvZG93bnJl&#10;di54bWxQSwECFAAUAAAACACHTuJA1meQc24CAADXBAAADgAAAAAAAAABACAAAAAoAQAAZHJzL2Uy&#10;b0RvYy54bWxQSwUGAAAAAAYABgBZAQAACAY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lang w:val="en-US" w:eastAsia="zh-CN"/>
                        </w:rPr>
                        <w:t>安全副总</w:t>
                      </w:r>
                    </w:p>
                  </w:txbxContent>
                </v:textbox>
              </v:rect>
            </w:pict>
          </mc:Fallback>
        </mc:AlternateContent>
      </w:r>
      <w:r>
        <w:rPr>
          <w:sz w:val="28"/>
        </w:rPr>
        <mc:AlternateContent>
          <mc:Choice Requires="wps">
            <w:drawing>
              <wp:anchor distT="0" distB="0" distL="114300" distR="114300" simplePos="0" relativeHeight="251686912" behindDoc="0" locked="0" layoutInCell="1" allowOverlap="1">
                <wp:simplePos x="0" y="0"/>
                <wp:positionH relativeFrom="column">
                  <wp:posOffset>761365</wp:posOffset>
                </wp:positionH>
                <wp:positionV relativeFrom="paragraph">
                  <wp:posOffset>127000</wp:posOffset>
                </wp:positionV>
                <wp:extent cx="2372360" cy="8255"/>
                <wp:effectExtent l="0" t="0" r="0" b="0"/>
                <wp:wrapNone/>
                <wp:docPr id="56" name="直接连接符 56"/>
                <wp:cNvGraphicFramePr/>
                <a:graphic xmlns:a="http://schemas.openxmlformats.org/drawingml/2006/main">
                  <a:graphicData uri="http://schemas.microsoft.com/office/word/2010/wordprocessingShape">
                    <wps:wsp>
                      <wps:cNvCnPr/>
                      <wps:spPr>
                        <a:xfrm>
                          <a:off x="1861185" y="1379855"/>
                          <a:ext cx="237236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9.95pt;margin-top:10pt;height:0.65pt;width:186.8pt;z-index:251686912;mso-width-relative:page;mso-height-relative:page;" filled="f" stroked="t" coordsize="21600,21600" o:gfxdata="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ZKUTVAAAACQEAAA8AAAAAAAAAAQAgAAAAIgAAAGRycy9kb3ducmV2LnhtbFBLAQIUABQA&#10;AAAIAIdO4kBCYlr68wEAAMIDAAAOAAAAAAAAAAEAIAAAACQBAABkcnMvZTJvRG9jLnhtbFBLBQYA&#10;AAAABgAGAFkBAACJ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588010</wp:posOffset>
                </wp:positionH>
                <wp:positionV relativeFrom="paragraph">
                  <wp:posOffset>312420</wp:posOffset>
                </wp:positionV>
                <wp:extent cx="337820" cy="977900"/>
                <wp:effectExtent l="6350" t="6350" r="17780" b="6350"/>
                <wp:wrapNone/>
                <wp:docPr id="38" name="矩形 38"/>
                <wp:cNvGraphicFramePr/>
                <a:graphic xmlns:a="http://schemas.openxmlformats.org/drawingml/2006/main">
                  <a:graphicData uri="http://schemas.microsoft.com/office/word/2010/wordprocessingShape">
                    <wps:wsp>
                      <wps:cNvSpPr/>
                      <wps:spPr>
                        <a:xfrm>
                          <a:off x="1818005" y="6694805"/>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作业副总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3pt;margin-top:24.6pt;height:77pt;width:26.6pt;z-index:251669504;v-text-anchor:middle;mso-width-relative:page;mso-height-relative:page;" filled="f" stroked="t" coordsize="21600,21600" o:gfxdata="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5tet81wAAAAkBAAAPAAAAAAAAAAEAIAAAACIA&#10;AABkcnMvZG93bnJldi54bWxQSwECFAAUAAAACACHTuJA8yEKHnwCAADjBAAADgAAAAAAAAABACAA&#10;AAAmAQAAZHJzL2Uyb0RvYy54bWxQSwUGAAAAAAYABgBZAQAAFAY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lang w:val="en-US" w:eastAsia="zh-CN"/>
                        </w:rPr>
                        <w:t>作业副总</w:t>
                      </w:r>
                    </w:p>
                  </w:txbxContent>
                </v:textbox>
              </v:rect>
            </w:pict>
          </mc:Fallback>
        </mc:AlternateContent>
      </w:r>
      <w:r>
        <w:rPr>
          <w:sz w:val="28"/>
        </w:rPr>
        <mc:AlternateContent>
          <mc:Choice Requires="wps">
            <w:drawing>
              <wp:anchor distT="0" distB="0" distL="114300" distR="114300" simplePos="0" relativeHeight="251671552" behindDoc="0" locked="0" layoutInCell="1" allowOverlap="1">
                <wp:simplePos x="0" y="0"/>
                <wp:positionH relativeFrom="column">
                  <wp:posOffset>2962910</wp:posOffset>
                </wp:positionH>
                <wp:positionV relativeFrom="paragraph">
                  <wp:posOffset>320675</wp:posOffset>
                </wp:positionV>
                <wp:extent cx="337820" cy="977900"/>
                <wp:effectExtent l="6350" t="6350" r="17780" b="6350"/>
                <wp:wrapNone/>
                <wp:docPr id="40" name="矩形 40"/>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val="en-US" w:eastAsia="zh-CN"/>
                              </w:rPr>
                            </w:pPr>
                            <w:r>
                              <w:rPr>
                                <w:rFonts w:hint="eastAsia"/>
                                <w:lang w:val="en-US" w:eastAsia="zh-CN"/>
                              </w:rPr>
                              <w:t>市场副总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3pt;margin-top:25.25pt;height:77pt;width:26.6pt;z-index:251671552;v-text-anchor:middle;mso-width-relative:page;mso-height-relative:page;" filled="f" stroked="t" coordsize="21600,21600" o:gfxdata="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mRkT9gAAAAKAQAADwAAAAAAAAABACAAAAAiAAAAZHJzL2Rvd25yZXYu&#10;eG1sUEsBAhQAFAAAAAgAh07iQBlG+7xtAgAA1wQAAA4AAAAAAAAAAQAgAAAAJwEAAGRycy9lMm9E&#10;b2MueG1sUEsFBgAAAAAGAAYAWQEAAAYGAAAAAA==&#10;">
                <v:fill on="f" focussize="0,0"/>
                <v:stroke weight="1pt" color="#000000 [3213]" miterlimit="8" joinstyle="miter"/>
                <v:imagedata o:title=""/>
                <o:lock v:ext="edit" aspectratio="f"/>
                <v:textbox>
                  <w:txbxContent>
                    <w:p>
                      <w:pPr>
                        <w:jc w:val="center"/>
                        <w:rPr>
                          <w:rFonts w:hint="eastAsia" w:eastAsia="宋体"/>
                          <w:lang w:val="en-US" w:eastAsia="zh-CN"/>
                        </w:rPr>
                      </w:pPr>
                      <w:r>
                        <w:rPr>
                          <w:rFonts w:hint="eastAsia"/>
                          <w:lang w:val="en-US" w:eastAsia="zh-CN"/>
                        </w:rPr>
                        <w:t>市场副总</w:t>
                      </w:r>
                    </w:p>
                  </w:txbxContent>
                </v:textbox>
              </v:rect>
            </w:pict>
          </mc:Fallback>
        </mc:AlternateContent>
      </w:r>
    </w:p>
    <w:p>
      <w:pPr>
        <w:pStyle w:val="2"/>
        <w:rPr>
          <w:rFonts w:hint="eastAsia"/>
          <w:sz w:val="28"/>
          <w:szCs w:val="28"/>
        </w:rPr>
      </w:pPr>
    </w:p>
    <w:p>
      <w:pPr>
        <w:adjustRightInd w:val="0"/>
        <w:snapToGrid w:val="0"/>
        <w:spacing w:line="360" w:lineRule="auto"/>
        <w:jc w:val="center"/>
        <w:rPr>
          <w:sz w:val="28"/>
          <w:szCs w:val="28"/>
        </w:rPr>
      </w:pPr>
      <w:r>
        <w:rPr>
          <w:sz w:val="28"/>
        </w:rPr>
        <mc:AlternateContent>
          <mc:Choice Requires="wps">
            <w:drawing>
              <wp:anchor distT="0" distB="0" distL="114300" distR="114300" simplePos="0" relativeHeight="251718656" behindDoc="0" locked="0" layoutInCell="1" allowOverlap="1">
                <wp:simplePos x="0" y="0"/>
                <wp:positionH relativeFrom="column">
                  <wp:posOffset>1503680</wp:posOffset>
                </wp:positionH>
                <wp:positionV relativeFrom="paragraph">
                  <wp:posOffset>198120</wp:posOffset>
                </wp:positionV>
                <wp:extent cx="842645" cy="301625"/>
                <wp:effectExtent l="6350" t="6350" r="8255" b="15875"/>
                <wp:wrapNone/>
                <wp:docPr id="89" name="矩形 89"/>
                <wp:cNvGraphicFramePr/>
                <a:graphic xmlns:a="http://schemas.openxmlformats.org/drawingml/2006/main">
                  <a:graphicData uri="http://schemas.microsoft.com/office/word/2010/wordprocessingShape">
                    <wps:wsp>
                      <wps:cNvSpPr/>
                      <wps:spPr>
                        <a:xfrm>
                          <a:off x="0" y="0"/>
                          <a:ext cx="842645" cy="3016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color w:val="auto"/>
                                <w:lang w:val="en-US" w:eastAsia="zh-CN"/>
                              </w:rPr>
                            </w:pPr>
                            <w:r>
                              <w:rPr>
                                <w:rFonts w:hint="eastAsia"/>
                                <w:color w:val="auto"/>
                                <w:lang w:val="en-US" w:eastAsia="zh-CN"/>
                              </w:rPr>
                              <w:t>安全总监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4pt;margin-top:15.6pt;height:23.75pt;width:66.35pt;z-index:251718656;v-text-anchor:middle;mso-width-relative:page;mso-height-relative:page;" filled="f" stroked="t" coordsize="21600,21600" o:gfxdata="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pgtXTYAAAACQEAAA8AAAAAAAAAAQAgAAAAIgAAAGRycy9kb3ducmV2&#10;LnhtbFBLAQIUABQAAAAIAIdO4kDiPqtobgIAANcEAAAOAAAAAAAAAAEAIAAAACcBAABkcnMvZTJv&#10;RG9jLnhtbFBLBQYAAAAABgAGAFkBAAAHBgAAAAA=&#10;">
                <v:fill on="f" focussize="0,0"/>
                <v:stroke weight="1pt" color="#000000 [3213]" miterlimit="8" joinstyle="miter"/>
                <v:imagedata o:title=""/>
                <o:lock v:ext="edit" aspectratio="f"/>
                <v:textbox>
                  <w:txbxContent>
                    <w:p>
                      <w:pPr>
                        <w:jc w:val="center"/>
                        <w:rPr>
                          <w:rFonts w:hint="default" w:eastAsia="宋体"/>
                          <w:color w:val="auto"/>
                          <w:lang w:val="en-US" w:eastAsia="zh-CN"/>
                        </w:rPr>
                      </w:pPr>
                      <w:r>
                        <w:rPr>
                          <w:rFonts w:hint="eastAsia"/>
                          <w:color w:val="auto"/>
                          <w:lang w:val="en-US" w:eastAsia="zh-CN"/>
                        </w:rPr>
                        <w:t>安全总监</w:t>
                      </w:r>
                    </w:p>
                  </w:txbxContent>
                </v:textbox>
              </v:rect>
            </w:pict>
          </mc:Fallback>
        </mc:AlternateContent>
      </w:r>
    </w:p>
    <w:p>
      <w:pPr>
        <w:pStyle w:val="2"/>
        <w:rPr>
          <w:sz w:val="28"/>
          <w:szCs w:val="28"/>
        </w:rPr>
      </w:pPr>
      <w:r>
        <w:rPr>
          <w:sz w:val="28"/>
        </w:rPr>
        <mc:AlternateContent>
          <mc:Choice Requires="wps">
            <w:drawing>
              <wp:anchor distT="0" distB="0" distL="114300" distR="114300" simplePos="0" relativeHeight="251719680" behindDoc="0" locked="0" layoutInCell="1" allowOverlap="1">
                <wp:simplePos x="0" y="0"/>
                <wp:positionH relativeFrom="column">
                  <wp:posOffset>1934845</wp:posOffset>
                </wp:positionH>
                <wp:positionV relativeFrom="paragraph">
                  <wp:posOffset>193040</wp:posOffset>
                </wp:positionV>
                <wp:extent cx="8255" cy="353695"/>
                <wp:effectExtent l="31750" t="0" r="36195" b="8255"/>
                <wp:wrapNone/>
                <wp:docPr id="93" name="直接箭头连接符 93"/>
                <wp:cNvGraphicFramePr/>
                <a:graphic xmlns:a="http://schemas.openxmlformats.org/drawingml/2006/main">
                  <a:graphicData uri="http://schemas.microsoft.com/office/word/2010/wordprocessingShape">
                    <wps:wsp>
                      <wps:cNvCnPr/>
                      <wps:spPr>
                        <a:xfrm>
                          <a:off x="3068320" y="3837305"/>
                          <a:ext cx="8255" cy="3536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2.35pt;margin-top:15.2pt;height:27.85pt;width:0.65pt;z-index:251719680;mso-width-relative:page;mso-height-relative:page;" filled="f" stroked="t" coordsize="21600,21600" o:gfxdata="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UJ919UAAAAJAQAADwAAAAAAAAABACAAAAAiAAAAZHJzL2Rvd25yZXYueG1sUEsBAhQAFAAA&#10;AAgAh07iQD867QorAgAALQQAAA4AAAAAAAAAAQAgAAAAJAEAAGRycy9lMm9Eb2MueG1sUEsFBgAA&#10;AAAGAAYAWQEAAMEFAAAAAA==&#10;">
                <v:fill on="f" focussize="0,0"/>
                <v:stroke weight="0.5pt" color="#000000 [3200]" miterlimit="8" joinstyle="miter" endarrow="block"/>
                <v:imagedata o:title=""/>
                <o:lock v:ext="edit" aspectratio="f"/>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1919605</wp:posOffset>
                </wp:positionH>
                <wp:positionV relativeFrom="paragraph">
                  <wp:posOffset>-340360</wp:posOffset>
                </wp:positionV>
                <wp:extent cx="5715" cy="225425"/>
                <wp:effectExtent l="36195" t="0" r="34290" b="3175"/>
                <wp:wrapNone/>
                <wp:docPr id="28" name="直接连接符 28"/>
                <wp:cNvGraphicFramePr/>
                <a:graphic xmlns:a="http://schemas.openxmlformats.org/drawingml/2006/main">
                  <a:graphicData uri="http://schemas.microsoft.com/office/word/2010/wordprocessingShape">
                    <wps:wsp>
                      <wps:cNvCnPr>
                        <a:stCxn id="39" idx="2"/>
                      </wps:cNvCnPr>
                      <wps:spPr>
                        <a:xfrm flipH="1">
                          <a:off x="3086100" y="4662170"/>
                          <a:ext cx="5715" cy="225425"/>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51.15pt;margin-top:-26.8pt;height:17.75pt;width:0.45pt;z-index:251693056;mso-width-relative:page;mso-height-relative:page;" filled="f" stroked="t" coordsize="21600,21600" o:gfxdata="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OFFrvbAAAACwEAAA8AAAAAAAAAAQAgAAAAIgAAAGRycy9kb3ducmV2&#10;LnhtbFBLAQIUABQAAAAIAIdO4kCqNcCsMgIAADgEAAAOAAAAAAAAAAEAIAAAACoBAABkcnMvZTJv&#10;RG9jLnhtbFBLBQYAAAAABgAGAFkBAADOBQAAAAA=&#10;">
                <v:fill on="f" focussize="0,0"/>
                <v:stroke weight="0.5pt" color="#000000 [3200]"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692032" behindDoc="0" locked="0" layoutInCell="1" allowOverlap="1">
                <wp:simplePos x="0" y="0"/>
                <wp:positionH relativeFrom="column">
                  <wp:posOffset>756920</wp:posOffset>
                </wp:positionH>
                <wp:positionV relativeFrom="paragraph">
                  <wp:posOffset>323215</wp:posOffset>
                </wp:positionV>
                <wp:extent cx="0" cy="210820"/>
                <wp:effectExtent l="38100" t="0" r="38100" b="17780"/>
                <wp:wrapNone/>
                <wp:docPr id="14" name="直接连接符 14"/>
                <wp:cNvGraphicFramePr/>
                <a:graphic xmlns:a="http://schemas.openxmlformats.org/drawingml/2006/main">
                  <a:graphicData uri="http://schemas.microsoft.com/office/word/2010/wordprocessingShape">
                    <wps:wsp>
                      <wps:cNvCnPr>
                        <a:stCxn id="38" idx="2"/>
                      </wps:cNvCnPr>
                      <wps:spPr>
                        <a:xfrm>
                          <a:off x="1899920" y="4658995"/>
                          <a:ext cx="0" cy="21082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9.6pt;margin-top:25.45pt;height:16.6pt;width:0pt;z-index:251692032;mso-width-relative:page;mso-height-relative:page;" filled="f" stroked="t" coordsize="21600,21600" o:gfxdata="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MjL51wAAAAkBAAAPAAAAAAAAAAEAIAAAACIAAABkcnMvZG93bnJldi54bWxQSwECFAAUAAAA&#10;CACHTuJAZDoscigCAAA9BAAADgAAAAAAAAABACAAAAAmAQAAZHJzL2Uyb0RvYy54bWxQSwUGAAAA&#10;AAYABgBZAQAAwAUAAAAA&#10;">
                <v:fill on="f" focussize="0,0"/>
                <v:stroke weight="0.5pt" color="#000000 [3200]" miterlimit="8" joinstyle="miter" endarrow="block"/>
                <v:imagedata o:title=""/>
                <o:lock v:ext="edit" aspectratio="f"/>
              </v:line>
            </w:pict>
          </mc:Fallback>
        </mc:AlternateContent>
      </w:r>
    </w:p>
    <w:p>
      <w:pPr>
        <w:pStyle w:val="2"/>
        <w:rPr>
          <w:sz w:val="28"/>
          <w:szCs w:val="28"/>
        </w:rPr>
      </w:pPr>
      <w:r>
        <w:rPr>
          <w:sz w:val="28"/>
        </w:rPr>
        <mc:AlternateContent>
          <mc:Choice Requires="wps">
            <w:drawing>
              <wp:anchor distT="0" distB="0" distL="114300" distR="114300" simplePos="0" relativeHeight="251707392" behindDoc="0" locked="0" layoutInCell="1" allowOverlap="1">
                <wp:simplePos x="0" y="0"/>
                <wp:positionH relativeFrom="column">
                  <wp:posOffset>5078095</wp:posOffset>
                </wp:positionH>
                <wp:positionV relativeFrom="paragraph">
                  <wp:posOffset>210185</wp:posOffset>
                </wp:positionV>
                <wp:extent cx="3175" cy="249555"/>
                <wp:effectExtent l="36195" t="0" r="36830" b="17145"/>
                <wp:wrapNone/>
                <wp:docPr id="72" name="直接连接符 72"/>
                <wp:cNvGraphicFramePr/>
                <a:graphic xmlns:a="http://schemas.openxmlformats.org/drawingml/2006/main">
                  <a:graphicData uri="http://schemas.microsoft.com/office/word/2010/wordprocessingShape">
                    <wps:wsp>
                      <wps:cNvCnPr/>
                      <wps:spPr>
                        <a:xfrm flipH="1" flipV="1">
                          <a:off x="6203315" y="4878705"/>
                          <a:ext cx="3175" cy="249555"/>
                        </a:xfrm>
                        <a:prstGeom prst="line">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99.85pt;margin-top:16.55pt;height:19.65pt;width:0.25pt;z-index:251707392;mso-width-relative:page;mso-height-relative:page;" filled="f" stroked="t" coordsize="21600,21600" o:gfxdata="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wIYMPaAAAACQEAAA8AAAAAAAAAAQAgAAAAIgAAAGRycy9kb3ducmV2LnhtbFBLAQIUABQA&#10;AAAIAIdO4kBB/XVDJwIAABsEAAAOAAAAAAAAAAEAIAAAACkBAABkcnMvZTJvRG9jLnhtbFBLBQYA&#10;AAAABgAGAFkBAADCBQ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694080" behindDoc="0" locked="0" layoutInCell="1" allowOverlap="1">
                <wp:simplePos x="0" y="0"/>
                <wp:positionH relativeFrom="column">
                  <wp:posOffset>3126740</wp:posOffset>
                </wp:positionH>
                <wp:positionV relativeFrom="paragraph">
                  <wp:posOffset>11430</wp:posOffset>
                </wp:positionV>
                <wp:extent cx="2540" cy="217170"/>
                <wp:effectExtent l="37465" t="0" r="36195" b="11430"/>
                <wp:wrapNone/>
                <wp:docPr id="46" name="直接连接符 46"/>
                <wp:cNvGraphicFramePr/>
                <a:graphic xmlns:a="http://schemas.openxmlformats.org/drawingml/2006/main">
                  <a:graphicData uri="http://schemas.microsoft.com/office/word/2010/wordprocessingShape">
                    <wps:wsp>
                      <wps:cNvCnPr/>
                      <wps:spPr>
                        <a:xfrm flipH="1">
                          <a:off x="4272280" y="4667250"/>
                          <a:ext cx="2540" cy="21717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46.2pt;margin-top:0.9pt;height:17.1pt;width:0.2pt;z-index:251694080;mso-width-relative:page;mso-height-relative:page;" filled="f" stroked="t" coordsize="21600,21600" o:gfxdata="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mJJdXX&#10;AAAACAEAAA8AAAAAAAAAAQAgAAAAIgAAAGRycy9kb3ducmV2LnhtbFBLAQIUABQAAAAIAIdO4kCl&#10;SpvhIQIAACMEAAAOAAAAAAAAAAEAIAAAACYBAABkcnMvZTJvRG9jLnhtbFBLBQYAAAAABgAGAFkB&#10;AAC5BQAAAAA=&#10;">
                <v:fill on="f" focussize="0,0"/>
                <v:stroke weight="0.5pt" color="#000000 [3200]"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705344" behindDoc="0" locked="0" layoutInCell="1" allowOverlap="1">
                <wp:simplePos x="0" y="0"/>
                <wp:positionH relativeFrom="column">
                  <wp:posOffset>4121785</wp:posOffset>
                </wp:positionH>
                <wp:positionV relativeFrom="paragraph">
                  <wp:posOffset>223520</wp:posOffset>
                </wp:positionV>
                <wp:extent cx="6985" cy="219075"/>
                <wp:effectExtent l="33655" t="0" r="35560" b="9525"/>
                <wp:wrapNone/>
                <wp:docPr id="70" name="直接连接符 70"/>
                <wp:cNvGraphicFramePr/>
                <a:graphic xmlns:a="http://schemas.openxmlformats.org/drawingml/2006/main">
                  <a:graphicData uri="http://schemas.microsoft.com/office/word/2010/wordprocessingShape">
                    <wps:wsp>
                      <wps:cNvCnPr/>
                      <wps:spPr>
                        <a:xfrm flipH="1" flipV="1">
                          <a:off x="5272405" y="4878705"/>
                          <a:ext cx="6985" cy="219075"/>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24.55pt;margin-top:17.6pt;height:17.25pt;width:0.55pt;z-index:251705344;mso-width-relative:page;mso-height-relative:page;" filled="f" stroked="t" coordsize="21600,21600" o:gfxdata="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xVge2gAAAAkBAAAPAAAAAAAAAAEAIAAAACIAAABkcnMvZG93bnJldi54bWxQSwECFAAU&#10;AAAACACHTuJAOUirZygCAAAtBAAADgAAAAAAAAABACAAAAApAQAAZHJzL2Uyb0RvYy54bWxQSwUG&#10;AAAAAAYABgBZAQAAwwU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701248" behindDoc="0" locked="0" layoutInCell="1" allowOverlap="1">
                <wp:simplePos x="0" y="0"/>
                <wp:positionH relativeFrom="column">
                  <wp:posOffset>3466465</wp:posOffset>
                </wp:positionH>
                <wp:positionV relativeFrom="paragraph">
                  <wp:posOffset>217805</wp:posOffset>
                </wp:positionV>
                <wp:extent cx="0" cy="213995"/>
                <wp:effectExtent l="38100" t="0" r="38100" b="14605"/>
                <wp:wrapNone/>
                <wp:docPr id="66" name="直接连接符 66"/>
                <wp:cNvGraphicFramePr/>
                <a:graphic xmlns:a="http://schemas.openxmlformats.org/drawingml/2006/main">
                  <a:graphicData uri="http://schemas.microsoft.com/office/word/2010/wordprocessingShape">
                    <wps:wsp>
                      <wps:cNvCnPr/>
                      <wps:spPr>
                        <a:xfrm flipV="1">
                          <a:off x="4604385" y="4878705"/>
                          <a:ext cx="0" cy="213995"/>
                        </a:xfrm>
                        <a:prstGeom prst="line">
                          <a:avLst/>
                        </a:prstGeom>
                        <a:ln>
                          <a:headEnd type="triangle" w="med" len="med"/>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72.95pt;margin-top:17.15pt;height:16.85pt;width:0pt;z-index:251701248;mso-width-relative:page;mso-height-relative:page;" filled="f" stroked="t" coordsize="21600,21600" o:gfxdata="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HkVd9gA&#10;AAAJAQAADwAAAAAAAAABACAAAAAiAAAAZHJzL2Rvd25yZXYueG1sUEsBAhQAFAAAAAgAh07iQCAj&#10;gSofAgAADgQAAA4AAAAAAAAAAQAgAAAAJwEAAGRycy9lMm9Eb2MueG1sUEsFBgAAAAAGAAYAWQEA&#10;ALgFAAAAAA==&#10;">
                <v:fill on="f" focussize="0,0"/>
                <v:stroke weight="0.5pt" color="#000000 [3200]"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699200" behindDoc="0" locked="0" layoutInCell="1" allowOverlap="1">
                <wp:simplePos x="0" y="0"/>
                <wp:positionH relativeFrom="column">
                  <wp:posOffset>1951355</wp:posOffset>
                </wp:positionH>
                <wp:positionV relativeFrom="paragraph">
                  <wp:posOffset>219710</wp:posOffset>
                </wp:positionV>
                <wp:extent cx="0" cy="219710"/>
                <wp:effectExtent l="38100" t="0" r="38100" b="8890"/>
                <wp:wrapNone/>
                <wp:docPr id="64" name="直接连接符 64"/>
                <wp:cNvGraphicFramePr/>
                <a:graphic xmlns:a="http://schemas.openxmlformats.org/drawingml/2006/main">
                  <a:graphicData uri="http://schemas.microsoft.com/office/word/2010/wordprocessingShape">
                    <wps:wsp>
                      <wps:cNvCnPr/>
                      <wps:spPr>
                        <a:xfrm flipV="1">
                          <a:off x="3129280" y="4887595"/>
                          <a:ext cx="0" cy="219710"/>
                        </a:xfrm>
                        <a:prstGeom prst="line">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3.65pt;margin-top:17.3pt;height:17.3pt;width:0pt;z-index:251699200;mso-width-relative:page;mso-height-relative:page;" filled="f" stroked="t" coordsize="21600,21600" o:gfxdata="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TDbD1wAA&#10;AAkBAAAPAAAAAAAAAAEAIAAAACIAAABkcnMvZG93bnJldi54bWxQSwECFAAUAAAACACHTuJAvq9w&#10;jR8CAAAOBAAADgAAAAAAAAABACAAAAAmAQAAZHJzL2Uyb0RvYy54bWxQSwUGAAAAAAYABgBZAQAA&#10;twU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309880</wp:posOffset>
                </wp:positionH>
                <wp:positionV relativeFrom="paragraph">
                  <wp:posOffset>211455</wp:posOffset>
                </wp:positionV>
                <wp:extent cx="3175" cy="205105"/>
                <wp:effectExtent l="36195" t="0" r="36830" b="4445"/>
                <wp:wrapNone/>
                <wp:docPr id="60" name="直接连接符 60"/>
                <wp:cNvGraphicFramePr/>
                <a:graphic xmlns:a="http://schemas.openxmlformats.org/drawingml/2006/main">
                  <a:graphicData uri="http://schemas.microsoft.com/office/word/2010/wordprocessingShape">
                    <wps:wsp>
                      <wps:cNvCnPr/>
                      <wps:spPr>
                        <a:xfrm>
                          <a:off x="1414780" y="4904740"/>
                          <a:ext cx="3175" cy="205105"/>
                        </a:xfrm>
                        <a:prstGeom prst="line">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4pt;margin-top:16.65pt;height:16.15pt;width:0.25pt;z-index:251695104;mso-width-relative:page;mso-height-relative:page;" filled="f" stroked="t" coordsize="21600,21600" o:gfxdata="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dFBnHXAAAABwEAAA8A&#10;AAAAAAAAAQAgAAAAIgAAAGRycy9kb3ducmV2LnhtbFBLAQIUABQAAAAIAIdO4kCHhQXeGAIAAAcE&#10;AAAOAAAAAAAAAAEAIAAAACYBAABkcnMvZTJvRG9jLnhtbFBLBQYAAAAABgAGAFkBAACwBQAAAAA=&#10;">
                <v:fill on="f" focussize="0,0"/>
                <v:stroke weight="0.5pt" color="#000000 [3200]" miterlimit="8" joinstyle="miter" endarrow="block"/>
                <v:imagedata o:title=""/>
                <o:lock v:ext="edit" aspectratio="f"/>
              </v:line>
            </w:pict>
          </mc:Fallback>
        </mc:AlternateContent>
      </w:r>
      <w:r>
        <w:rPr>
          <w:sz w:val="28"/>
        </w:rPr>
        <mc:AlternateContent>
          <mc:Choice Requires="wps">
            <w:drawing>
              <wp:anchor distT="0" distB="0" distL="114300" distR="114300" simplePos="0" relativeHeight="251691008" behindDoc="0" locked="0" layoutInCell="1" allowOverlap="1">
                <wp:simplePos x="0" y="0"/>
                <wp:positionH relativeFrom="column">
                  <wp:posOffset>304800</wp:posOffset>
                </wp:positionH>
                <wp:positionV relativeFrom="paragraph">
                  <wp:posOffset>215265</wp:posOffset>
                </wp:positionV>
                <wp:extent cx="3162300" cy="6350"/>
                <wp:effectExtent l="0" t="0" r="0" b="0"/>
                <wp:wrapNone/>
                <wp:docPr id="13" name="直接连接符 13"/>
                <wp:cNvGraphicFramePr/>
                <a:graphic xmlns:a="http://schemas.openxmlformats.org/drawingml/2006/main">
                  <a:graphicData uri="http://schemas.microsoft.com/office/word/2010/wordprocessingShape">
                    <wps:wsp>
                      <wps:cNvCnPr/>
                      <wps:spPr>
                        <a:xfrm>
                          <a:off x="1406525" y="4887595"/>
                          <a:ext cx="31623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pt;margin-top:16.95pt;height:0.5pt;width:249pt;z-index:251691008;mso-width-relative:page;mso-height-relative:page;" filled="f" stroked="t" coordsize="21600,21600" o:gfxdata="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myXknXAAAACAEAAA8AAAAAAAAAAQAgAAAAIgAAAGRycy9kb3ducmV2LnhtbFBLAQIU&#10;ABQAAAAIAIdO4kA535x09AEAAMIDAAAOAAAAAAAAAAEAIAAAACYBAABkcnMvZTJvRG9jLnhtbFBL&#10;BQYAAAAABgAGAFkBAACM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1703296" behindDoc="0" locked="0" layoutInCell="1" allowOverlap="1">
                <wp:simplePos x="0" y="0"/>
                <wp:positionH relativeFrom="column">
                  <wp:posOffset>4124960</wp:posOffset>
                </wp:positionH>
                <wp:positionV relativeFrom="paragraph">
                  <wp:posOffset>212725</wp:posOffset>
                </wp:positionV>
                <wp:extent cx="952500" cy="8890"/>
                <wp:effectExtent l="0" t="0" r="0" b="0"/>
                <wp:wrapNone/>
                <wp:docPr id="68" name="直接连接符 68"/>
                <wp:cNvGraphicFramePr/>
                <a:graphic xmlns:a="http://schemas.openxmlformats.org/drawingml/2006/main">
                  <a:graphicData uri="http://schemas.microsoft.com/office/word/2010/wordprocessingShape">
                    <wps:wsp>
                      <wps:cNvCnPr/>
                      <wps:spPr>
                        <a:xfrm flipV="1">
                          <a:off x="5172710" y="4878705"/>
                          <a:ext cx="95250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24.8pt;margin-top:16.75pt;height:0.7pt;width:75pt;z-index:251703296;mso-width-relative:page;mso-height-relative:page;" filled="f" stroked="t" coordsize="21600,21600" o:gfxdata="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uFx3rWAAAACQEAAA8AAAAAAAAAAQAgAAAAIgAAAGRycy9kb3ducmV2Lnht&#10;bFBLAQIUABQAAAAIAIdO4kAKCxtK+wEAAMsDAAAOAAAAAAAAAAEAIAAAACUBAABkcnMvZTJvRG9j&#10;LnhtbFBLBQYAAAAABgAGAFkBAACSBQ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1706368" behindDoc="0" locked="0" layoutInCell="1" allowOverlap="1">
                <wp:simplePos x="0" y="0"/>
                <wp:positionH relativeFrom="column">
                  <wp:posOffset>4583430</wp:posOffset>
                </wp:positionH>
                <wp:positionV relativeFrom="paragraph">
                  <wp:posOffset>203835</wp:posOffset>
                </wp:positionV>
                <wp:extent cx="635" cy="254635"/>
                <wp:effectExtent l="38100" t="0" r="37465" b="12065"/>
                <wp:wrapNone/>
                <wp:docPr id="71" name="直接连接符 71"/>
                <wp:cNvGraphicFramePr/>
                <a:graphic xmlns:a="http://schemas.openxmlformats.org/drawingml/2006/main">
                  <a:graphicData uri="http://schemas.microsoft.com/office/word/2010/wordprocessingShape">
                    <wps:wsp>
                      <wps:cNvCnPr>
                        <a:stCxn id="50" idx="0"/>
                      </wps:cNvCnPr>
                      <wps:spPr>
                        <a:xfrm flipV="1">
                          <a:off x="5778500" y="4869815"/>
                          <a:ext cx="635" cy="254635"/>
                        </a:xfrm>
                        <a:prstGeom prst="line">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60.9pt;margin-top:16.05pt;height:20.05pt;width:0.05pt;z-index:251706368;mso-width-relative:page;mso-height-relative:page;" filled="f" stroked="t" coordsize="21600,21600" o:gfxdata="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7WeodcAAAAJAQAADwAAAAAAAAABACAAAAAiAAAAZHJzL2Rvd25yZXYueG1sUEsBAhQA&#10;FAAAAAgAh07iQJ/p8S0sAgAANwQAAA4AAAAAAAAAAQAgAAAAJgEAAGRycy9lMm9Eb2MueG1sUEsF&#10;BgAAAAAGAAYAWQEAAMQFA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2947035</wp:posOffset>
                </wp:positionH>
                <wp:positionV relativeFrom="paragraph">
                  <wp:posOffset>221615</wp:posOffset>
                </wp:positionV>
                <wp:extent cx="635" cy="210820"/>
                <wp:effectExtent l="38100" t="0" r="37465" b="17780"/>
                <wp:wrapNone/>
                <wp:docPr id="65" name="直接连接符 65"/>
                <wp:cNvGraphicFramePr/>
                <a:graphic xmlns:a="http://schemas.openxmlformats.org/drawingml/2006/main">
                  <a:graphicData uri="http://schemas.microsoft.com/office/word/2010/wordprocessingShape">
                    <wps:wsp>
                      <wps:cNvCnPr>
                        <a:stCxn id="48" idx="0"/>
                      </wps:cNvCnPr>
                      <wps:spPr>
                        <a:xfrm flipV="1">
                          <a:off x="4090035" y="4887595"/>
                          <a:ext cx="635" cy="210820"/>
                        </a:xfrm>
                        <a:prstGeom prst="line">
                          <a:avLst/>
                        </a:prstGeom>
                        <a:ln>
                          <a:headEnd type="triangle" w="med" len="med"/>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32.05pt;margin-top:17.45pt;height:16.6pt;width:0.05pt;z-index:251700224;mso-width-relative:page;mso-height-relative:page;" filled="f" stroked="t" coordsize="21600,21600" o:gfxdata="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2FHFNgAAAAJAQAADwAAAAAAAAABACAAAAAiAAAAZHJzL2Rvd25yZXYueG1sUEsB&#10;AhQAFAAAAAgAh07iQCrDqvQuAgAANwQAAA4AAAAAAAAAAQAgAAAAJwEAAGRycy9lMm9Eb2MueG1s&#10;UEsFBgAAAAAGAAYAWQEAAMcFAAAAAA==&#10;">
                <v:fill on="f" focussize="0,0"/>
                <v:stroke weight="0.5pt" color="#000000 [3200]"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2445385</wp:posOffset>
                </wp:positionH>
                <wp:positionV relativeFrom="paragraph">
                  <wp:posOffset>221615</wp:posOffset>
                </wp:positionV>
                <wp:extent cx="4445" cy="190500"/>
                <wp:effectExtent l="35560" t="0" r="36195" b="0"/>
                <wp:wrapNone/>
                <wp:docPr id="63" name="直接连接符 63"/>
                <wp:cNvGraphicFramePr/>
                <a:graphic xmlns:a="http://schemas.openxmlformats.org/drawingml/2006/main">
                  <a:graphicData uri="http://schemas.microsoft.com/office/word/2010/wordprocessingShape">
                    <wps:wsp>
                      <wps:cNvCnPr>
                        <a:stCxn id="45" idx="0"/>
                      </wps:cNvCnPr>
                      <wps:spPr>
                        <a:xfrm flipH="1" flipV="1">
                          <a:off x="3588385" y="4887595"/>
                          <a:ext cx="4445" cy="190500"/>
                        </a:xfrm>
                        <a:prstGeom prst="line">
                          <a:avLst/>
                        </a:prstGeom>
                        <a:ln>
                          <a:headEnd type="triangle" w="med" len="med"/>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192.55pt;margin-top:17.45pt;height:15pt;width:0.35pt;z-index:251698176;mso-width-relative:page;mso-height-relative:page;" filled="f" stroked="t" coordsize="21600,21600" o:gfxdata="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klJj2AAAAAkBAAAPAAAAAAAAAAEAIAAAACIAAABkcnMvZG93bnJl&#10;di54bWxQSwECFAAUAAAACACHTuJAB0gz4TYCAABCBAAADgAAAAAAAAABACAAAAAnAQAAZHJzL2Uy&#10;b0RvYy54bWxQSwUGAAAAAAYABgBZAQAAzwUAAAAA&#10;">
                <v:fill on="f" focussize="0,0"/>
                <v:stroke weight="0.5pt" color="#000000 [3200]"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1556385</wp:posOffset>
                </wp:positionH>
                <wp:positionV relativeFrom="paragraph">
                  <wp:posOffset>220980</wp:posOffset>
                </wp:positionV>
                <wp:extent cx="0" cy="215265"/>
                <wp:effectExtent l="38100" t="0" r="38100" b="13335"/>
                <wp:wrapNone/>
                <wp:docPr id="62" name="直接连接符 62"/>
                <wp:cNvGraphicFramePr/>
                <a:graphic xmlns:a="http://schemas.openxmlformats.org/drawingml/2006/main">
                  <a:graphicData uri="http://schemas.microsoft.com/office/word/2010/wordprocessingShape">
                    <wps:wsp>
                      <wps:cNvCnPr>
                        <a:stCxn id="43" idx="0"/>
                      </wps:cNvCnPr>
                      <wps:spPr>
                        <a:xfrm flipV="1">
                          <a:off x="2699385" y="4895850"/>
                          <a:ext cx="0" cy="215265"/>
                        </a:xfrm>
                        <a:prstGeom prst="line">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2.55pt;margin-top:17.4pt;height:16.95pt;width:0pt;z-index:251697152;mso-width-relative:page;mso-height-relative:page;" filled="f" stroked="t" coordsize="21600,21600" o:gfxdata="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rTlEdcAAAAJAQAADwAAAAAAAAABACAAAAAiAAAAZHJzL2Rvd25yZXYueG1sUEsBAhQA&#10;FAAAAAgAh07iQII6J8AsAgAANQQAAA4AAAAAAAAAAQAgAAAAJgEAAGRycy9lMm9Eb2MueG1sUEsF&#10;BgAAAAAGAAYAWQEAAMQFA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696128" behindDoc="0" locked="0" layoutInCell="1" allowOverlap="1">
                <wp:simplePos x="0" y="0"/>
                <wp:positionH relativeFrom="column">
                  <wp:posOffset>1077595</wp:posOffset>
                </wp:positionH>
                <wp:positionV relativeFrom="paragraph">
                  <wp:posOffset>223520</wp:posOffset>
                </wp:positionV>
                <wp:extent cx="5715" cy="198755"/>
                <wp:effectExtent l="34290" t="0" r="36195" b="10795"/>
                <wp:wrapNone/>
                <wp:docPr id="61" name="直接连接符 61"/>
                <wp:cNvGraphicFramePr/>
                <a:graphic xmlns:a="http://schemas.openxmlformats.org/drawingml/2006/main">
                  <a:graphicData uri="http://schemas.microsoft.com/office/word/2010/wordprocessingShape">
                    <wps:wsp>
                      <wps:cNvCnPr>
                        <a:stCxn id="42" idx="0"/>
                      </wps:cNvCnPr>
                      <wps:spPr>
                        <a:xfrm flipH="1" flipV="1">
                          <a:off x="2219960" y="4895850"/>
                          <a:ext cx="5715" cy="198755"/>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84.85pt;margin-top:17.6pt;height:15.65pt;width:0.45pt;z-index:251696128;mso-width-relative:page;mso-height-relative:page;" filled="f" stroked="t" coordsize="21600,21600" o:gfxdata="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U2LC2QAAAAkBAAAPAAAAAAAAAAEAIAAAACIAAABkcnMvZG93&#10;bnJldi54bWxQSwECFAAUAAAACACHTuJATxMpzTgCAABUBAAADgAAAAAAAAABACAAAAAoAQAAZHJz&#10;L2Uyb0RvYy54bWxQSwUGAAAAAAYABgBZAQAA0gUAAAAA&#10;">
                <v:fill on="f" focussize="0,0"/>
                <v:stroke weight="0.5pt" color="#000000 [3213]" miterlimit="8" joinstyle="miter" startarrow="block"/>
                <v:imagedata o:title=""/>
                <o:lock v:ext="edit" aspectratio="f"/>
              </v:line>
            </w:pict>
          </mc:Fallback>
        </mc:AlternateContent>
      </w:r>
    </w:p>
    <w:p>
      <w:pPr>
        <w:pStyle w:val="2"/>
        <w:rPr>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4894580</wp:posOffset>
                </wp:positionH>
                <wp:positionV relativeFrom="paragraph">
                  <wp:posOffset>132080</wp:posOffset>
                </wp:positionV>
                <wp:extent cx="337820" cy="977900"/>
                <wp:effectExtent l="6350" t="6350" r="17780" b="6350"/>
                <wp:wrapNone/>
                <wp:docPr id="49" name="矩形 49"/>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财务部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4pt;margin-top:10.4pt;height:77pt;width:26.6pt;z-index:251679744;v-text-anchor:middle;mso-width-relative:page;mso-height-relative:page;" filled="f" stroked="t" coordsize="21600,21600" o:gfxdata="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AdPgu2AAAAAoBAAAPAAAAAAAAAAEAIAAAACIAAABkcnMvZG93bnJl&#10;di54bWxQSwECFAAUAAAACACHTuJAsWwNf28CAADXBAAADgAAAAAAAAABACAAAAAnAQAAZHJzL2Uy&#10;b0RvYy54bWxQSwUGAAAAAAYABgBZAQAACA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财务部</w:t>
                      </w:r>
                    </w:p>
                  </w:txbxContent>
                </v:textbox>
              </v:rect>
            </w:pict>
          </mc:Fallback>
        </mc:AlternateContent>
      </w:r>
      <w:r>
        <w:rPr>
          <w:sz w:val="28"/>
        </w:rPr>
        <mc:AlternateContent>
          <mc:Choice Requires="wps">
            <w:drawing>
              <wp:anchor distT="0" distB="0" distL="114300" distR="114300" simplePos="0" relativeHeight="251680768" behindDoc="0" locked="0" layoutInCell="1" allowOverlap="1">
                <wp:simplePos x="0" y="0"/>
                <wp:positionH relativeFrom="column">
                  <wp:posOffset>4414520</wp:posOffset>
                </wp:positionH>
                <wp:positionV relativeFrom="paragraph">
                  <wp:posOffset>128270</wp:posOffset>
                </wp:positionV>
                <wp:extent cx="337820" cy="977900"/>
                <wp:effectExtent l="6350" t="6350" r="17780" b="6350"/>
                <wp:wrapNone/>
                <wp:docPr id="50" name="矩形 50"/>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采购部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6pt;margin-top:10.1pt;height:77pt;width:26.6pt;z-index:251680768;v-text-anchor:middle;mso-width-relative:page;mso-height-relative:page;" filled="f" stroked="t" coordsize="21600,21600" o:gfxdata="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0XazL2QAAAAoBAAAPAAAAAAAAAAEAIAAAACIAAABkcnMvZG93bnJl&#10;di54bWxQSwECFAAUAAAACACHTuJAe4QB3W4CAADXBAAADgAAAAAAAAABACAAAAAoAQAAZHJzL2Uy&#10;b0RvYy54bWxQSwUGAAAAAAYABgBZAQAACA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采购部</w:t>
                      </w:r>
                    </w:p>
                  </w:txbxContent>
                </v:textbox>
              </v:rect>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3960495</wp:posOffset>
                </wp:positionH>
                <wp:positionV relativeFrom="paragraph">
                  <wp:posOffset>125095</wp:posOffset>
                </wp:positionV>
                <wp:extent cx="337820" cy="977900"/>
                <wp:effectExtent l="6350" t="6350" r="17780" b="6350"/>
                <wp:wrapNone/>
                <wp:docPr id="51" name="矩形 51"/>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人事部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1.85pt;margin-top:9.85pt;height:77pt;width:26.6pt;z-index:251681792;v-text-anchor:middle;mso-width-relative:page;mso-height-relative:page;" filled="f" stroked="t" coordsize="21600,21600" o:gfxdata="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CDvbHYAAAACgEAAA8AAAAAAAAAAQAgAAAAIgAAAGRycy9kb3ducmV2&#10;LnhtbFBLAQIUABQAAAAIAIdO4kClNTxMbgIAANcEAAAOAAAAAAAAAAEAIAAAACcBAABkcnMvZTJv&#10;RG9jLnhtbFBLBQYAAAAABgAGAFkBAAAHBg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人事部</w:t>
                      </w:r>
                    </w:p>
                  </w:txbxContent>
                </v:textbox>
              </v:rect>
            </w:pict>
          </mc:Fallback>
        </mc:AlternateContent>
      </w:r>
      <w:r>
        <w:rPr>
          <w:sz w:val="28"/>
        </w:rPr>
        <mc:AlternateContent>
          <mc:Choice Requires="wps">
            <w:drawing>
              <wp:anchor distT="0" distB="0" distL="114300" distR="114300" simplePos="0" relativeHeight="251677696" behindDoc="0" locked="0" layoutInCell="1" allowOverlap="1">
                <wp:simplePos x="0" y="0"/>
                <wp:positionH relativeFrom="column">
                  <wp:posOffset>3292475</wp:posOffset>
                </wp:positionH>
                <wp:positionV relativeFrom="paragraph">
                  <wp:posOffset>97155</wp:posOffset>
                </wp:positionV>
                <wp:extent cx="337820" cy="977900"/>
                <wp:effectExtent l="6350" t="6350" r="17780" b="6350"/>
                <wp:wrapNone/>
                <wp:docPr id="47" name="矩形 47"/>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销售部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25pt;margin-top:7.65pt;height:77pt;width:26.6pt;z-index:251677696;v-text-anchor:middle;mso-width-relative:page;mso-height-relative:page;" filled="f" stroked="t" coordsize="21600,21600" o:gfxdata="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lKDVS2QAAAAoBAAAPAAAAAAAAAAEAIAAAACIAAABkcnMvZG93bnJl&#10;di54bWxQSwECFAAUAAAACACHTuJAgV+p/W4CAADXBAAADgAAAAAAAAABACAAAAAoAQAAZHJzL2Uy&#10;b0RvYy54bWxQSwUGAAAAAAYABgBZAQAACA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销售部</w:t>
                      </w:r>
                    </w:p>
                  </w:txbxContent>
                </v:textbox>
              </v:rect>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2778125</wp:posOffset>
                </wp:positionH>
                <wp:positionV relativeFrom="paragraph">
                  <wp:posOffset>102235</wp:posOffset>
                </wp:positionV>
                <wp:extent cx="337820" cy="977900"/>
                <wp:effectExtent l="6350" t="6350" r="17780" b="6350"/>
                <wp:wrapNone/>
                <wp:docPr id="48" name="矩形 48"/>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市场部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75pt;margin-top:8.05pt;height:77pt;width:26.6pt;z-index:251678720;v-text-anchor:middle;mso-width-relative:page;mso-height-relative:page;" filled="f" stroked="t" coordsize="21600,21600" o:gfxdata="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uOqCdcAAAAKAQAADwAAAAAAAAABACAAAAAiAAAAZHJzL2Rvd25yZXYu&#10;eG1sUEsBAhQAFAAAAAgAh07iQG/dMO5uAgAA1wQAAA4AAAAAAAAAAQAgAAAAJgEAAGRycy9lMm9E&#10;b2MueG1sUEsFBgAAAAAGAAYAWQEAAAY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市场部</w:t>
                      </w:r>
                    </w:p>
                  </w:txbxContent>
                </v:textbox>
              </v:rect>
            </w:pict>
          </mc:Fallback>
        </mc:AlternateContent>
      </w:r>
      <w:r>
        <w:rPr>
          <w:sz w:val="28"/>
        </w:rPr>
        <mc:AlternateContent>
          <mc:Choice Requires="wps">
            <w:drawing>
              <wp:anchor distT="0" distB="0" distL="114300" distR="114300" simplePos="0" relativeHeight="251676672" behindDoc="0" locked="0" layoutInCell="1" allowOverlap="1">
                <wp:simplePos x="0" y="0"/>
                <wp:positionH relativeFrom="column">
                  <wp:posOffset>2280920</wp:posOffset>
                </wp:positionH>
                <wp:positionV relativeFrom="paragraph">
                  <wp:posOffset>81915</wp:posOffset>
                </wp:positionV>
                <wp:extent cx="337820" cy="1064895"/>
                <wp:effectExtent l="6350" t="6350" r="17780" b="14605"/>
                <wp:wrapNone/>
                <wp:docPr id="45" name="矩形 45"/>
                <wp:cNvGraphicFramePr/>
                <a:graphic xmlns:a="http://schemas.openxmlformats.org/drawingml/2006/main">
                  <a:graphicData uri="http://schemas.microsoft.com/office/word/2010/wordprocessingShape">
                    <wps:wsp>
                      <wps:cNvSpPr/>
                      <wps:spPr>
                        <a:xfrm>
                          <a:off x="0" y="0"/>
                          <a:ext cx="337820" cy="106489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仪器制造部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6pt;margin-top:6.45pt;height:83.85pt;width:26.6pt;z-index:251676672;v-text-anchor:middle;mso-width-relative:page;mso-height-relative:page;" filled="f" stroked="t" coordsize="21600,21600" o:gfxdata="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P0oJ9kAAAAKAQAADwAAAAAAAAABACAAAAAiAAAAZHJzL2Rvd25y&#10;ZXYueG1sUEsBAhQAFAAAAAgAh07iQPiEbJlvAgAA2AQAAA4AAAAAAAAAAQAgAAAAKAEAAGRycy9l&#10;Mm9Eb2MueG1sUEsFBgAAAAAGAAYAWQEAAAk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仪器制造部</w:t>
                      </w:r>
                    </w:p>
                  </w:txbxContent>
                </v:textbox>
              </v:rect>
            </w:pict>
          </mc:Fallback>
        </mc:AlternateContent>
      </w:r>
      <w:r>
        <w:rPr>
          <w:sz w:val="28"/>
        </w:rPr>
        <mc:AlternateContent>
          <mc:Choice Requires="wps">
            <w:drawing>
              <wp:anchor distT="0" distB="0" distL="114300" distR="114300" simplePos="0" relativeHeight="251675648" behindDoc="0" locked="0" layoutInCell="1" allowOverlap="1">
                <wp:simplePos x="0" y="0"/>
                <wp:positionH relativeFrom="column">
                  <wp:posOffset>1817370</wp:posOffset>
                </wp:positionH>
                <wp:positionV relativeFrom="paragraph">
                  <wp:posOffset>111125</wp:posOffset>
                </wp:positionV>
                <wp:extent cx="337820" cy="977900"/>
                <wp:effectExtent l="6350" t="6350" r="17780" b="6350"/>
                <wp:wrapNone/>
                <wp:docPr id="44" name="矩形 44"/>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作业部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1pt;margin-top:8.75pt;height:77pt;width:26.6pt;z-index:251675648;v-text-anchor:middle;mso-width-relative:page;mso-height-relative:page;" filled="f" stroked="t" coordsize="21600,21600" o:gfxdata="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QSbep2QAAAAoBAAAPAAAAAAAAAAEAIAAAACIAAABkcnMvZG93bnJl&#10;di54bWxQSwECFAAUAAAACACHTuJAoouelW4CAADXBAAADgAAAAAAAAABACAAAAAoAQAAZHJzL2Uy&#10;b0RvYy54bWxQSwUGAAAAAAYABgBZAQAACA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作业部</w:t>
                      </w:r>
                    </w:p>
                  </w:txbxContent>
                </v:textbox>
              </v:rect>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1387475</wp:posOffset>
                </wp:positionH>
                <wp:positionV relativeFrom="paragraph">
                  <wp:posOffset>106045</wp:posOffset>
                </wp:positionV>
                <wp:extent cx="337820" cy="977900"/>
                <wp:effectExtent l="6350" t="6350" r="17780" b="6350"/>
                <wp:wrapNone/>
                <wp:docPr id="43" name="矩形 43"/>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安全部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5pt;margin-top:8.35pt;height:77pt;width:26.6pt;z-index:251674624;v-text-anchor:middle;mso-width-relative:page;mso-height-relative:page;" filled="f" stroked="t" coordsize="21600,21600" o:gfxdata="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WASJn2AAAAAoBAAAPAAAAAAAAAAEAIAAAACIAAABkcnMvZG93bnJl&#10;di54bWxQSwECFAAUAAAACACHTuJAOpLM1G8CAADXBAAADgAAAAAAAAABACAAAAAnAQAAZHJzL2Uy&#10;b0RvYy54bWxQSwUGAAAAAAYABgBZAQAACA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安全部</w:t>
                      </w:r>
                    </w:p>
                  </w:txbxContent>
                </v:textbox>
              </v:rect>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135255</wp:posOffset>
                </wp:positionH>
                <wp:positionV relativeFrom="paragraph">
                  <wp:posOffset>83820</wp:posOffset>
                </wp:positionV>
                <wp:extent cx="337820" cy="977900"/>
                <wp:effectExtent l="6350" t="6350" r="17780" b="6350"/>
                <wp:wrapNone/>
                <wp:docPr id="41" name="矩形 41"/>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各项目部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6.6pt;height:77pt;width:26.6pt;z-index:251672576;v-text-anchor:middle;mso-width-relative:page;mso-height-relative:page;" filled="f" stroked="t" coordsize="21600,21600" o:gfxdata="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G8u8NcAAAAIAQAADwAAAAAAAAABACAAAAAiAAAAZHJzL2Rvd25yZXYu&#10;eG1sUEsBAhQAFAAAAAgAh07iQMf3xi1uAgAA1wQAAA4AAAAAAAAAAQAgAAAAJgEAAGRycy9lMm9E&#10;b2MueG1sUEsFBgAAAAAGAAYAWQEAAAY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各项目部</w:t>
                      </w:r>
                    </w:p>
                  </w:txbxContent>
                </v:textbox>
              </v:rect>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914400</wp:posOffset>
                </wp:positionH>
                <wp:positionV relativeFrom="paragraph">
                  <wp:posOffset>92075</wp:posOffset>
                </wp:positionV>
                <wp:extent cx="337820" cy="977900"/>
                <wp:effectExtent l="6350" t="6350" r="17780" b="6350"/>
                <wp:wrapNone/>
                <wp:docPr id="42" name="矩形 42"/>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行政部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pt;margin-top:7.25pt;height:77pt;width:26.6pt;z-index:251673600;v-text-anchor:middle;mso-width-relative:page;mso-height-relative:page;" filled="f" stroked="t" coordsize="21600,21600" o:gfxdata="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x3jQtcAAAAKAQAADwAAAAAAAAABACAAAAAiAAAAZHJzL2Rvd25yZXYu&#10;eG1sUEsBAhQAFAAAAAgAh07iQOQj8UVuAgAA1wQAAA4AAAAAAAAAAQAgAAAAJgEAAGRycy9lMm9E&#10;b2MueG1sUEsFBgAAAAAGAAYAWQEAAAY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行政部</w:t>
                      </w:r>
                    </w:p>
                  </w:txbxContent>
                </v:textbox>
              </v:rect>
            </w:pict>
          </mc:Fallback>
        </mc:AlternateContent>
      </w:r>
    </w:p>
    <w:p>
      <w:pPr>
        <w:pStyle w:val="2"/>
        <w:rPr>
          <w:sz w:val="28"/>
          <w:szCs w:val="28"/>
        </w:rPr>
      </w:pPr>
    </w:p>
    <w:p>
      <w:pPr>
        <w:pStyle w:val="2"/>
        <w:rPr>
          <w:sz w:val="28"/>
          <w:szCs w:val="28"/>
        </w:rPr>
      </w:pPr>
    </w:p>
    <w:p>
      <w:pPr>
        <w:pStyle w:val="2"/>
        <w:rPr>
          <w:sz w:val="28"/>
          <w:szCs w:val="28"/>
        </w:rPr>
      </w:pPr>
      <w:r>
        <w:rPr>
          <w:sz w:val="28"/>
        </w:rPr>
        <mc:AlternateContent>
          <mc:Choice Requires="wps">
            <w:drawing>
              <wp:anchor distT="0" distB="0" distL="114300" distR="114300" simplePos="0" relativeHeight="251709440" behindDoc="0" locked="0" layoutInCell="1" allowOverlap="1">
                <wp:simplePos x="0" y="0"/>
                <wp:positionH relativeFrom="column">
                  <wp:posOffset>2445385</wp:posOffset>
                </wp:positionH>
                <wp:positionV relativeFrom="paragraph">
                  <wp:posOffset>156210</wp:posOffset>
                </wp:positionV>
                <wp:extent cx="4445" cy="187960"/>
                <wp:effectExtent l="36195" t="0" r="35560" b="2540"/>
                <wp:wrapNone/>
                <wp:docPr id="74" name="直接连接符 74"/>
                <wp:cNvGraphicFramePr/>
                <a:graphic xmlns:a="http://schemas.openxmlformats.org/drawingml/2006/main">
                  <a:graphicData uri="http://schemas.microsoft.com/office/word/2010/wordprocessingShape">
                    <wps:wsp>
                      <wps:cNvCnPr>
                        <a:stCxn id="45" idx="2"/>
                      </wps:cNvCnPr>
                      <wps:spPr>
                        <a:xfrm flipH="1">
                          <a:off x="3588385" y="6142990"/>
                          <a:ext cx="4445" cy="18796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92.55pt;margin-top:12.3pt;height:14.8pt;width:0.35pt;z-index:251709440;mso-width-relative:page;mso-height-relative:page;" filled="f" stroked="t" coordsize="21600,21600" o:gfxdata="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5s9efZAAAACQEAAA8AAAAAAAAAAQAgAAAAIgAAAGRycy9kb3ducmV2&#10;LnhtbFBLAQIUABQAAAAIAIdO4kDLt5dANAIAAEoEAAAOAAAAAAAAAAEAIAAAACgBAABkcnMvZTJv&#10;RG9jLnhtbFBLBQYAAAAABgAGAFkBAADOBQAAAAA=&#10;">
                <v:fill on="f" focussize="0,0"/>
                <v:stroke weight="0.5pt" color="#000000 [3200]" miterlimit="8" joinstyle="miter" endarrow="block"/>
                <v:imagedata o:title=""/>
                <o:lock v:ext="edit" aspectratio="f"/>
              </v:line>
            </w:pict>
          </mc:Fallback>
        </mc:AlternateContent>
      </w:r>
    </w:p>
    <w:p>
      <w:pPr>
        <w:pStyle w:val="2"/>
        <w:rPr>
          <w:sz w:val="28"/>
          <w:szCs w:val="28"/>
        </w:rPr>
      </w:pPr>
      <w:r>
        <w:rPr>
          <w:sz w:val="28"/>
        </w:rPr>
        <mc:AlternateContent>
          <mc:Choice Requires="wps">
            <w:drawing>
              <wp:anchor distT="0" distB="0" distL="114300" distR="114300" simplePos="0" relativeHeight="251710464" behindDoc="0" locked="0" layoutInCell="1" allowOverlap="1">
                <wp:simplePos x="0" y="0"/>
                <wp:positionH relativeFrom="column">
                  <wp:posOffset>1737995</wp:posOffset>
                </wp:positionH>
                <wp:positionV relativeFrom="paragraph">
                  <wp:posOffset>27940</wp:posOffset>
                </wp:positionV>
                <wp:extent cx="2540" cy="121285"/>
                <wp:effectExtent l="36195" t="0" r="37465" b="12065"/>
                <wp:wrapNone/>
                <wp:docPr id="75" name="直接连接符 75"/>
                <wp:cNvGraphicFramePr/>
                <a:graphic xmlns:a="http://schemas.openxmlformats.org/drawingml/2006/main">
                  <a:graphicData uri="http://schemas.microsoft.com/office/word/2010/wordprocessingShape">
                    <wps:wsp>
                      <wps:cNvCnPr/>
                      <wps:spPr>
                        <a:xfrm flipV="1">
                          <a:off x="2886710" y="6356985"/>
                          <a:ext cx="2540" cy="121285"/>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36.85pt;margin-top:2.2pt;height:9.55pt;width:0.2pt;z-index:251710464;mso-width-relative:page;mso-height-relative:page;" filled="f" stroked="t" coordsize="21600,21600" o:gfxdata="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vgY9cA&#10;AAAIAQAADwAAAAAAAAABACAAAAAiAAAAZHJzL2Rvd25yZXYueG1sUEsBAhQAFAAAAAgAh07iQMFI&#10;9ZEgAgAAIwQAAA4AAAAAAAAAAQAgAAAAJgEAAGRycy9lMm9Eb2MueG1sUEsFBgAAAAAGAAYAWQEA&#10;ALgFA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2959100</wp:posOffset>
                </wp:positionH>
                <wp:positionV relativeFrom="paragraph">
                  <wp:posOffset>161290</wp:posOffset>
                </wp:positionV>
                <wp:extent cx="337820" cy="977900"/>
                <wp:effectExtent l="6350" t="6350" r="17780" b="6350"/>
                <wp:wrapNone/>
                <wp:docPr id="55" name="矩形 55"/>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eastAsia="宋体"/>
                                <w:lang w:val="en-US" w:eastAsia="zh-CN"/>
                              </w:rPr>
                              <w:t>质检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pt;margin-top:12.7pt;height:77pt;width:26.6pt;z-index:251685888;v-text-anchor:middle;mso-width-relative:page;mso-height-relative:page;" filled="f" stroked="t" coordsize="21600,21600" o:gfxdata="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wUca9kAAAAKAQAADwAAAAAAAAABACAAAAAiAAAAZHJzL2Rvd25y&#10;ZXYueG1sUEsBAhQAFAAAAAgAh07iQB74WWVvAgAA1wQAAA4AAAAAAAAAAQAgAAAAKAEAAGRycy9l&#10;Mm9Eb2MueG1sUEsFBgAAAAAGAAYAWQEAAAk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质检</w:t>
                      </w:r>
                    </w:p>
                  </w:txbxContent>
                </v:textbox>
              </v:rect>
            </w:pict>
          </mc:Fallback>
        </mc:AlternateContent>
      </w:r>
      <w:r>
        <w:rPr>
          <w:sz w:val="28"/>
        </w:rPr>
        <mc:AlternateContent>
          <mc:Choice Requires="wps">
            <w:drawing>
              <wp:anchor distT="0" distB="0" distL="114300" distR="114300" simplePos="0" relativeHeight="251712512" behindDoc="0" locked="0" layoutInCell="1" allowOverlap="1">
                <wp:simplePos x="0" y="0"/>
                <wp:positionH relativeFrom="column">
                  <wp:posOffset>3126105</wp:posOffset>
                </wp:positionH>
                <wp:positionV relativeFrom="paragraph">
                  <wp:posOffset>21590</wp:posOffset>
                </wp:positionV>
                <wp:extent cx="2540" cy="135890"/>
                <wp:effectExtent l="36830" t="0" r="36830" b="16510"/>
                <wp:wrapNone/>
                <wp:docPr id="77" name="直接连接符 77"/>
                <wp:cNvGraphicFramePr/>
                <a:graphic xmlns:a="http://schemas.openxmlformats.org/drawingml/2006/main">
                  <a:graphicData uri="http://schemas.microsoft.com/office/word/2010/wordprocessingShape">
                    <wps:wsp>
                      <wps:cNvCnPr/>
                      <wps:spPr>
                        <a:xfrm flipH="1" flipV="1">
                          <a:off x="4264025" y="6348095"/>
                          <a:ext cx="2540" cy="135890"/>
                        </a:xfrm>
                        <a:prstGeom prst="line">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46.15pt;margin-top:1.7pt;height:10.7pt;width:0.2pt;z-index:251712512;mso-width-relative:page;mso-height-relative:page;" filled="f" stroked="t" coordsize="21600,21600" o:gfxdata="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S/pEH2AAAAAgBAAAPAAAAAAAAAAEAIAAAACIAAABkcnMvZG93bnJldi54bWxQSwECFAAUAAAA&#10;CACHTuJA3wLHBicCAAAbBAAADgAAAAAAAAABACAAAAAnAQAAZHJzL2Uyb0RvYy54bWxQSwUGAAAA&#10;AAYABgBZAQAAwAU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713536" behindDoc="0" locked="0" layoutInCell="1" allowOverlap="1">
                <wp:simplePos x="0" y="0"/>
                <wp:positionH relativeFrom="column">
                  <wp:posOffset>2656840</wp:posOffset>
                </wp:positionH>
                <wp:positionV relativeFrom="paragraph">
                  <wp:posOffset>22860</wp:posOffset>
                </wp:positionV>
                <wp:extent cx="635" cy="132080"/>
                <wp:effectExtent l="38100" t="0" r="37465" b="1270"/>
                <wp:wrapNone/>
                <wp:docPr id="78" name="直接连接符 78"/>
                <wp:cNvGraphicFramePr/>
                <a:graphic xmlns:a="http://schemas.openxmlformats.org/drawingml/2006/main">
                  <a:graphicData uri="http://schemas.microsoft.com/office/word/2010/wordprocessingShape">
                    <wps:wsp>
                      <wps:cNvCnPr>
                        <a:stCxn id="54" idx="0"/>
                      </wps:cNvCnPr>
                      <wps:spPr>
                        <a:xfrm flipH="1" flipV="1">
                          <a:off x="3787775" y="6356985"/>
                          <a:ext cx="635" cy="132080"/>
                        </a:xfrm>
                        <a:prstGeom prst="line">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09.2pt;margin-top:1.8pt;height:10.4pt;width:0.05pt;z-index:251713536;mso-width-relative:page;mso-height-relative:page;" filled="f" stroked="t" coordsize="21600,21600" o:gfxdata="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gkSn2AAAAAgBAAAPAAAAAAAAAAEAIAAAACIAAABkcnMvZG93bnJldi54&#10;bWxQSwECFAAUAAAACACHTuJAewfD9DMCAABBBAAADgAAAAAAAAABACAAAAAnAQAAZHJzL2Uyb0Rv&#10;Yy54bWxQSwUGAAAAAAYABgBZAQAAzAU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711488" behindDoc="0" locked="0" layoutInCell="1" allowOverlap="1">
                <wp:simplePos x="0" y="0"/>
                <wp:positionH relativeFrom="column">
                  <wp:posOffset>2219325</wp:posOffset>
                </wp:positionH>
                <wp:positionV relativeFrom="paragraph">
                  <wp:posOffset>22860</wp:posOffset>
                </wp:positionV>
                <wp:extent cx="635" cy="136525"/>
                <wp:effectExtent l="37465" t="0" r="38100" b="15875"/>
                <wp:wrapNone/>
                <wp:docPr id="76" name="直接连接符 76"/>
                <wp:cNvGraphicFramePr/>
                <a:graphic xmlns:a="http://schemas.openxmlformats.org/drawingml/2006/main">
                  <a:graphicData uri="http://schemas.microsoft.com/office/word/2010/wordprocessingShape">
                    <wps:wsp>
                      <wps:cNvCnPr>
                        <a:stCxn id="53" idx="0"/>
                      </wps:cNvCnPr>
                      <wps:spPr>
                        <a:xfrm flipV="1">
                          <a:off x="3345815" y="6339840"/>
                          <a:ext cx="635" cy="136525"/>
                        </a:xfrm>
                        <a:prstGeom prst="line">
                          <a:avLst/>
                        </a:prstGeom>
                        <a:ln>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74.75pt;margin-top:1.8pt;height:10.75pt;width:0.05pt;z-index:251711488;mso-width-relative:page;mso-height-relative:page;" filled="f" stroked="t" coordsize="21600,21600" o:gfxdata="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vPPJrWAAAACAEAAA8AAAAAAAAAAQAgAAAAIgAAAGRycy9kb3ducmV2LnhtbFBLAQIU&#10;ABQAAAAIAIdO4kAHIzWHLgIAADcEAAAOAAAAAAAAAAEAIAAAACUBAABkcnMvZTJvRG9jLnhtbFBL&#10;BQYAAAAABgAGAFkBAADFBQAAAAA=&#10;">
                <v:fill on="f" focussize="0,0"/>
                <v:stroke weight="0.5pt" color="#000000 [3213]" miterlimit="8" joinstyle="miter" startarrow="block"/>
                <v:imagedata o:title=""/>
                <o:lock v:ext="edit" aspectratio="f"/>
              </v:line>
            </w:pict>
          </mc:Fallback>
        </mc:AlternateContent>
      </w:r>
      <w:r>
        <w:rPr>
          <w:sz w:val="28"/>
        </w:rPr>
        <mc:AlternateContent>
          <mc:Choice Requires="wps">
            <w:drawing>
              <wp:anchor distT="0" distB="0" distL="114300" distR="114300" simplePos="0" relativeHeight="251708416" behindDoc="0" locked="0" layoutInCell="1" allowOverlap="1">
                <wp:simplePos x="0" y="0"/>
                <wp:positionH relativeFrom="column">
                  <wp:posOffset>1735455</wp:posOffset>
                </wp:positionH>
                <wp:positionV relativeFrom="paragraph">
                  <wp:posOffset>22860</wp:posOffset>
                </wp:positionV>
                <wp:extent cx="1385570" cy="0"/>
                <wp:effectExtent l="0" t="0" r="0" b="0"/>
                <wp:wrapNone/>
                <wp:docPr id="73" name="直接连接符 73"/>
                <wp:cNvGraphicFramePr/>
                <a:graphic xmlns:a="http://schemas.openxmlformats.org/drawingml/2006/main">
                  <a:graphicData uri="http://schemas.microsoft.com/office/word/2010/wordprocessingShape">
                    <wps:wsp>
                      <wps:cNvCnPr/>
                      <wps:spPr>
                        <a:xfrm>
                          <a:off x="2878455" y="6339840"/>
                          <a:ext cx="1385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6.65pt;margin-top:1.8pt;height:0pt;width:109.1pt;z-index:251708416;mso-width-relative:page;mso-height-relative:page;" filled="f" stroked="t" coordsize="21600,21600" o:gfxdata="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2AaGR1AAAAAcBAAAPAAAAAAAAAAEAIAAAACIAAABkcnMvZG93bnJldi54bWxQSwECFAAUAAAA&#10;CACHTuJAyswd1fIBAAC/AwAADgAAAAAAAAABACAAAAAjAQAAZHJzL2Uyb0RvYy54bWxQSwUGAAAA&#10;AAYABgBZAQAAhwUAAAAA&#10;">
                <v:fill on="f" focussize="0,0"/>
                <v:stroke weight="0.5pt" color="#000000 [3200]" miterlimit="8" joinstyle="miter"/>
                <v:imagedata o:title=""/>
                <o:lock v:ext="edit" aspectratio="f"/>
              </v:lin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2488565</wp:posOffset>
                </wp:positionH>
                <wp:positionV relativeFrom="paragraph">
                  <wp:posOffset>154940</wp:posOffset>
                </wp:positionV>
                <wp:extent cx="337820" cy="977900"/>
                <wp:effectExtent l="6350" t="6350" r="17780" b="6350"/>
                <wp:wrapNone/>
                <wp:docPr id="54" name="矩形 54"/>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eastAsia="宋体"/>
                                <w:lang w:val="en-US" w:eastAsia="zh-CN"/>
                              </w:rPr>
                              <w:t>库房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95pt;margin-top:12.2pt;height:77pt;width:26.6pt;z-index:251684864;v-text-anchor:middle;mso-width-relative:page;mso-height-relative:page;" filled="f" stroked="t" coordsize="21600,21600" o:gfxdata="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b7HKNkAAAAKAQAADwAAAAAAAAABACAAAAAiAAAAZHJzL2Rvd25y&#10;ZXYueG1sUEsBAhQAFAAAAAgAh07iQMBJZPRvAgAA1wQAAA4AAAAAAAAAAQAgAAAAKAEAAGRycy9l&#10;Mm9Eb2MueG1sUEsFBgAAAAAGAAYAWQEAAAk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eastAsia="宋体"/>
                          <w:lang w:val="en-US" w:eastAsia="zh-CN"/>
                        </w:rPr>
                        <w:t>库房</w:t>
                      </w:r>
                    </w:p>
                  </w:txbxContent>
                </v:textbox>
              </v:rect>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2050415</wp:posOffset>
                </wp:positionH>
                <wp:positionV relativeFrom="paragraph">
                  <wp:posOffset>159385</wp:posOffset>
                </wp:positionV>
                <wp:extent cx="337820" cy="977900"/>
                <wp:effectExtent l="6350" t="6350" r="17780" b="6350"/>
                <wp:wrapNone/>
                <wp:docPr id="53" name="矩形 53"/>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生产部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45pt;margin-top:12.55pt;height:77pt;width:26.6pt;z-index:251683840;v-text-anchor:middle;mso-width-relative:page;mso-height-relative:page;" filled="f" stroked="t" coordsize="21600,21600" o:gfxdata="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IbkH9kAAAAKAQAADwAAAAAAAAABACAAAAAiAAAAZHJzL2Rvd25y&#10;ZXYueG1sUEsBAhQAFAAAAAgAh07iQFhQNrVvAgAA1wQAAA4AAAAAAAAAAQAgAAAAKAEAAGRycy9l&#10;Mm9Eb2MueG1sUEsFBgAAAAAGAAYAWQEAAAkGA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生产部</w:t>
                      </w:r>
                    </w:p>
                  </w:txbxContent>
                </v:textbox>
              </v:rect>
            </w:pict>
          </mc:Fallback>
        </mc:AlternateContent>
      </w:r>
      <w:r>
        <w:rPr>
          <w:sz w:val="28"/>
        </w:rPr>
        <mc:AlternateContent>
          <mc:Choice Requires="wps">
            <w:drawing>
              <wp:anchor distT="0" distB="0" distL="114300" distR="114300" simplePos="0" relativeHeight="251682816" behindDoc="0" locked="0" layoutInCell="1" allowOverlap="1">
                <wp:simplePos x="0" y="0"/>
                <wp:positionH relativeFrom="column">
                  <wp:posOffset>1577340</wp:posOffset>
                </wp:positionH>
                <wp:positionV relativeFrom="paragraph">
                  <wp:posOffset>144145</wp:posOffset>
                </wp:positionV>
                <wp:extent cx="337820" cy="977900"/>
                <wp:effectExtent l="6350" t="6350" r="17780" b="6350"/>
                <wp:wrapNone/>
                <wp:docPr id="52" name="矩形 52"/>
                <wp:cNvGraphicFramePr/>
                <a:graphic xmlns:a="http://schemas.openxmlformats.org/drawingml/2006/main">
                  <a:graphicData uri="http://schemas.microsoft.com/office/word/2010/wordprocessingShape">
                    <wps:wsp>
                      <wps:cNvSpPr/>
                      <wps:spPr>
                        <a:xfrm>
                          <a:off x="0" y="0"/>
                          <a:ext cx="337820" cy="977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val="en-US" w:eastAsia="zh-CN"/>
                              </w:rPr>
                              <w:t>科研部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4.2pt;margin-top:11.35pt;height:77pt;width:26.6pt;z-index:251682816;v-text-anchor:middle;mso-width-relative:page;mso-height-relative:page;" filled="f" stroked="t" coordsize="21600,21600" o:gfxdata="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7ySBl2AAAAAoBAAAPAAAAAAAAAAEAIAAAACIAAABkcnMvZG93bnJl&#10;di54bWxQSwECFAAUAAAACACHTuJAhuELJG8CAADXBAAADgAAAAAAAAABACAAAAAnAQAAZHJzL2Uy&#10;b0RvYy54bWxQSwUGAAAAAAYABgBZAQAACAYAAAAA&#10;">
                <v:fill on="f" focussize="0,0"/>
                <v:stroke weight="1pt" color="#000000 [3213]" miterlimit="8" joinstyle="miter"/>
                <v:imagedata o:title=""/>
                <o:lock v:ext="edit" aspectratio="f"/>
                <v:textbox>
                  <w:txbxContent>
                    <w:p>
                      <w:pPr>
                        <w:jc w:val="center"/>
                        <w:rPr>
                          <w:rFonts w:hint="default" w:eastAsia="宋体"/>
                          <w:lang w:val="en-US" w:eastAsia="zh-CN"/>
                        </w:rPr>
                      </w:pPr>
                      <w:r>
                        <w:rPr>
                          <w:rFonts w:hint="eastAsia"/>
                          <w:lang w:val="en-US" w:eastAsia="zh-CN"/>
                        </w:rPr>
                        <w:t>科研部</w:t>
                      </w:r>
                    </w:p>
                  </w:txbxContent>
                </v:textbox>
              </v:rect>
            </w:pict>
          </mc:Fallback>
        </mc:AlternateContent>
      </w:r>
    </w:p>
    <w:p>
      <w:pPr>
        <w:pStyle w:val="2"/>
        <w:rPr>
          <w:sz w:val="28"/>
          <w:szCs w:val="28"/>
        </w:rPr>
      </w:pPr>
    </w:p>
    <w:p>
      <w:pPr>
        <w:pStyle w:val="2"/>
        <w:rPr>
          <w:sz w:val="28"/>
          <w:szCs w:val="28"/>
        </w:rPr>
      </w:pPr>
    </w:p>
    <w:p>
      <w:pPr>
        <w:pStyle w:val="2"/>
        <w:rPr>
          <w:sz w:val="28"/>
          <w:szCs w:val="28"/>
        </w:rPr>
      </w:pPr>
    </w:p>
    <w:p>
      <w:pPr>
        <w:pStyle w:val="5"/>
        <w:adjustRightInd w:val="0"/>
        <w:snapToGrid w:val="0"/>
        <w:spacing w:line="360" w:lineRule="auto"/>
        <w:ind w:firstLine="422"/>
        <w:jc w:val="center"/>
        <w:rPr>
          <w:b/>
          <w:szCs w:val="21"/>
        </w:rPr>
      </w:pPr>
      <w:bookmarkStart w:id="21" w:name="_Toc285310336"/>
      <w:bookmarkStart w:id="22" w:name="_Toc202759402"/>
      <w:r>
        <w:rPr>
          <w:b/>
          <w:szCs w:val="21"/>
        </w:rPr>
        <w:t>图2</w:t>
      </w:r>
      <w:r>
        <w:rPr>
          <w:rFonts w:hint="eastAsia"/>
          <w:b/>
          <w:szCs w:val="21"/>
          <w:lang w:val="en-US" w:eastAsia="zh-CN"/>
        </w:rPr>
        <w:t>.2</w:t>
      </w:r>
      <w:r>
        <w:rPr>
          <w:b/>
          <w:szCs w:val="21"/>
        </w:rPr>
        <w:t xml:space="preserve">-1 </w:t>
      </w:r>
      <w:r>
        <w:rPr>
          <w:rFonts w:hint="eastAsia"/>
          <w:b/>
          <w:szCs w:val="21"/>
          <w:lang w:eastAsia="zh-CN"/>
        </w:rPr>
        <w:t>斯伦贝谢油田技术（山东）有限公司</w:t>
      </w:r>
      <w:r>
        <w:rPr>
          <w:b/>
          <w:szCs w:val="21"/>
        </w:rPr>
        <w:t>机构设置图</w:t>
      </w:r>
    </w:p>
    <w:p>
      <w:pPr>
        <w:adjustRightInd w:val="0"/>
        <w:snapToGrid w:val="0"/>
        <w:spacing w:line="360" w:lineRule="auto"/>
        <w:jc w:val="center"/>
        <w:rPr>
          <w:rFonts w:hint="default" w:eastAsia="宋体"/>
          <w:b/>
          <w:bCs/>
          <w:sz w:val="24"/>
          <w:szCs w:val="28"/>
          <w:lang w:val="en-US" w:eastAsia="zh-CN"/>
        </w:rPr>
      </w:pPr>
      <w:r>
        <w:rPr>
          <w:rFonts w:hint="eastAsia"/>
          <w:b/>
          <w:bCs/>
          <w:sz w:val="24"/>
          <w:szCs w:val="28"/>
        </w:rPr>
        <w:t>表2</w:t>
      </w:r>
      <w:r>
        <w:rPr>
          <w:rFonts w:hint="eastAsia"/>
          <w:b/>
          <w:bCs/>
          <w:sz w:val="24"/>
          <w:szCs w:val="28"/>
          <w:lang w:val="en-US" w:eastAsia="zh-CN"/>
        </w:rPr>
        <w:t>.2</w:t>
      </w:r>
      <w:r>
        <w:rPr>
          <w:rFonts w:hint="eastAsia"/>
          <w:b/>
          <w:bCs/>
          <w:sz w:val="24"/>
          <w:szCs w:val="28"/>
        </w:rPr>
        <w:t>-</w:t>
      </w:r>
      <w:r>
        <w:rPr>
          <w:rFonts w:hint="eastAsia"/>
          <w:b/>
          <w:bCs/>
          <w:sz w:val="24"/>
          <w:szCs w:val="28"/>
          <w:lang w:val="en-US" w:eastAsia="zh-CN"/>
        </w:rPr>
        <w:t>1</w:t>
      </w:r>
      <w:r>
        <w:rPr>
          <w:b/>
          <w:bCs/>
          <w:sz w:val="24"/>
          <w:szCs w:val="28"/>
        </w:rPr>
        <w:t xml:space="preserve"> </w:t>
      </w:r>
      <w:r>
        <w:rPr>
          <w:rFonts w:hint="eastAsia"/>
          <w:b/>
          <w:bCs/>
          <w:sz w:val="24"/>
          <w:szCs w:val="28"/>
          <w:lang w:val="en-US" w:eastAsia="zh-CN"/>
        </w:rPr>
        <w:t>项目部设置情况</w:t>
      </w:r>
    </w:p>
    <w:tbl>
      <w:tblPr>
        <w:tblStyle w:val="5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74"/>
        <w:gridCol w:w="1391"/>
        <w:gridCol w:w="1016"/>
        <w:gridCol w:w="51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572" w:type="pct"/>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rPr>
            </w:pPr>
            <w:r>
              <w:rPr>
                <w:rFonts w:hint="eastAsia"/>
                <w:b/>
              </w:rPr>
              <w:t>序号</w:t>
            </w:r>
          </w:p>
        </w:tc>
        <w:tc>
          <w:tcPr>
            <w:tcW w:w="816" w:type="pct"/>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b/>
                <w:lang w:val="en-US" w:eastAsia="zh-CN"/>
              </w:rPr>
            </w:pPr>
            <w:r>
              <w:rPr>
                <w:rFonts w:hint="eastAsia"/>
                <w:b/>
                <w:lang w:val="en-US" w:eastAsia="zh-CN"/>
              </w:rPr>
              <w:t>项目部名称</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人数</w:t>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lang w:val="en-US" w:eastAsia="zh-CN"/>
              </w:rPr>
            </w:pPr>
            <w:r>
              <w:rPr>
                <w:rFonts w:hint="eastAsia" w:cs="Times New Roman"/>
                <w:b/>
                <w:lang w:val="en-US" w:eastAsia="zh-CN"/>
              </w:rPr>
              <w:t>简介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72"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rPr>
            </w:pPr>
            <w:r>
              <w:rPr>
                <w:rFonts w:hint="eastAsia"/>
              </w:rPr>
              <w:t>1</w:t>
            </w:r>
          </w:p>
        </w:tc>
        <w:tc>
          <w:tcPr>
            <w:tcW w:w="816"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rPr>
              <w:t>大庆</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30</w:t>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项目部位于黑龙江省大庆市龙凤区开发区，服务区块包括大庆油田、吉林油田、东北油气田</w:t>
            </w:r>
            <w:r>
              <w:rPr>
                <w:rFonts w:hint="eastAsia" w:cs="Times New Roman"/>
                <w:lang w:val="en-US" w:eastAsia="zh-CN"/>
              </w:rPr>
              <w:t>，现有1名项目部经理，29名仪器/工程施工人员</w:t>
            </w:r>
            <w:r>
              <w:rPr>
                <w:rFonts w:hint="eastAsia"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72"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lang w:val="en-US" w:eastAsia="zh-CN"/>
              </w:rPr>
            </w:pPr>
            <w:r>
              <w:rPr>
                <w:rFonts w:hint="eastAsia"/>
                <w:lang w:val="en-US" w:eastAsia="zh-CN"/>
              </w:rPr>
              <w:t>2</w:t>
            </w:r>
          </w:p>
        </w:tc>
        <w:tc>
          <w:tcPr>
            <w:tcW w:w="816"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rPr>
              <w:t>冀东</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5</w:t>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项目部位于河北省唐山市以及辽宁省盘锦市，</w:t>
            </w:r>
            <w:r>
              <w:rPr>
                <w:rFonts w:hint="eastAsia" w:eastAsia="宋体" w:cs="Times New Roman"/>
                <w:lang w:val="en-US" w:eastAsia="zh-CN"/>
              </w:rPr>
              <w:t>服务区块包括</w:t>
            </w:r>
            <w:r>
              <w:rPr>
                <w:rFonts w:hint="eastAsia" w:ascii="Times New Roman" w:hAnsi="Times New Roman" w:eastAsia="宋体" w:cs="Times New Roman"/>
                <w:lang w:val="en-US" w:eastAsia="zh-CN"/>
              </w:rPr>
              <w:t>冀东油田全部区块（高尚堡、老爷庙、柳赞、南堡、唐南）以及辽河油田服务区块（盘锦、沈阳、锦州、鞍山等）</w:t>
            </w:r>
            <w:r>
              <w:rPr>
                <w:rFonts w:hint="eastAsia" w:cs="Times New Roman"/>
                <w:lang w:val="en-US" w:eastAsia="zh-CN"/>
              </w:rPr>
              <w:t>，现有1名项目部经理，1名项目部副经理，3名仪器/工程施工人员</w:t>
            </w:r>
            <w:r>
              <w:rPr>
                <w:rFonts w:hint="eastAsia"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72"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lang w:val="en-US" w:eastAsia="zh-CN"/>
              </w:rPr>
            </w:pPr>
            <w:r>
              <w:rPr>
                <w:rFonts w:hint="eastAsia"/>
                <w:lang w:val="en-US" w:eastAsia="zh-CN"/>
              </w:rPr>
              <w:t>3</w:t>
            </w:r>
          </w:p>
        </w:tc>
        <w:tc>
          <w:tcPr>
            <w:tcW w:w="816"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rPr>
              <w:t>长庆</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7</w:t>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eastAsia" w:ascii="Times New Roman" w:hAnsi="Times New Roman" w:eastAsia="宋体" w:cs="Times New Roman"/>
                <w:lang w:val="en-US" w:eastAsia="zh-CN"/>
              </w:rPr>
            </w:pPr>
            <w:r>
              <w:rPr>
                <w:rFonts w:hint="eastAsia" w:eastAsia="宋体" w:cs="Times New Roman"/>
                <w:lang w:val="en-US" w:eastAsia="zh-CN"/>
              </w:rPr>
              <w:t>项目部位于陕西省子长市以及山西省晋城市，服务区域包括陕西、甘肃、山西、内蒙等</w:t>
            </w:r>
            <w:r>
              <w:rPr>
                <w:rFonts w:hint="eastAsia" w:cs="Times New Roman"/>
                <w:lang w:val="en-US" w:eastAsia="zh-CN"/>
              </w:rPr>
              <w:t>，现有1名项目部经理，6名仪器/工程施工人员</w:t>
            </w:r>
            <w:r>
              <w:rPr>
                <w:rFonts w:hint="eastAsia"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72"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lang w:val="en-US" w:eastAsia="zh-CN"/>
              </w:rPr>
            </w:pPr>
            <w:r>
              <w:rPr>
                <w:rFonts w:hint="eastAsia"/>
                <w:lang w:val="en-US" w:eastAsia="zh-CN"/>
              </w:rPr>
              <w:t>4</w:t>
            </w:r>
          </w:p>
        </w:tc>
        <w:tc>
          <w:tcPr>
            <w:tcW w:w="816"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rPr>
              <w:t>西南</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14</w:t>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default" w:ascii="Times New Roman" w:hAnsi="Times New Roman" w:eastAsia="宋体" w:cs="Times New Roman"/>
                <w:lang w:val="en-US" w:eastAsia="zh-CN"/>
              </w:rPr>
            </w:pPr>
            <w:r>
              <w:rPr>
                <w:rFonts w:hint="eastAsia" w:eastAsia="宋体" w:cs="Times New Roman"/>
                <w:lang w:val="en-US" w:eastAsia="zh-CN"/>
              </w:rPr>
              <w:t>项目部位于四川省德阳市，服务区域包括四川、重庆、云南、贵州、广西、湖北、江苏等</w:t>
            </w:r>
            <w:r>
              <w:rPr>
                <w:rFonts w:hint="eastAsia" w:cs="Times New Roman"/>
                <w:lang w:val="en-US" w:eastAsia="zh-CN"/>
              </w:rPr>
              <w:t>，现有1名项目部经理，1名仪器主管，12名仪器/工程施工人员</w:t>
            </w:r>
            <w:r>
              <w:rPr>
                <w:rFonts w:hint="eastAsia"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72"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lang w:val="en-US" w:eastAsia="zh-CN"/>
              </w:rPr>
            </w:pPr>
            <w:r>
              <w:rPr>
                <w:rFonts w:hint="eastAsia"/>
                <w:lang w:val="en-US" w:eastAsia="zh-CN"/>
              </w:rPr>
              <w:t>5</w:t>
            </w:r>
          </w:p>
        </w:tc>
        <w:tc>
          <w:tcPr>
            <w:tcW w:w="816"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rPr>
              <w:t>青海</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3</w:t>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eastAsia" w:ascii="Times New Roman" w:hAnsi="Times New Roman" w:eastAsia="宋体" w:cs="Times New Roman"/>
                <w:lang w:val="en-US" w:eastAsia="zh-CN"/>
              </w:rPr>
            </w:pPr>
            <w:r>
              <w:rPr>
                <w:rFonts w:hint="eastAsia" w:eastAsia="宋体" w:cs="Times New Roman"/>
                <w:lang w:val="en-US" w:eastAsia="zh-CN"/>
              </w:rPr>
              <w:t>项目部位于青海省海西州芒崖市，服务区块包括青海油田所属区域（芒崖市和格尔木市）</w:t>
            </w:r>
            <w:r>
              <w:rPr>
                <w:rFonts w:hint="eastAsia" w:cs="Times New Roman"/>
                <w:lang w:val="en-US" w:eastAsia="zh-CN"/>
              </w:rPr>
              <w:t>，现有1名项目部经理，2名仪器/工程施工人员</w:t>
            </w:r>
            <w:r>
              <w:rPr>
                <w:rFonts w:hint="eastAsia"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72"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lang w:val="en-US" w:eastAsia="zh-CN"/>
              </w:rPr>
            </w:pPr>
            <w:r>
              <w:rPr>
                <w:rFonts w:hint="eastAsia"/>
                <w:lang w:val="en-US" w:eastAsia="zh-CN"/>
              </w:rPr>
              <w:t>6</w:t>
            </w:r>
          </w:p>
        </w:tc>
        <w:tc>
          <w:tcPr>
            <w:tcW w:w="816"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rPr>
              <w:t>吐哈</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lang w:val="en-US" w:eastAsia="zh-CN"/>
              </w:rPr>
            </w:pPr>
            <w:r>
              <w:rPr>
                <w:rFonts w:hint="eastAsia" w:cs="Times New Roman"/>
                <w:lang w:val="en-US" w:eastAsia="zh-CN"/>
              </w:rPr>
              <w:t>3</w:t>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项目部位于新疆维吾尔自治区吐鲁番市，服务区快包括吐哈油田区块、三塘湖区块、吉木萨尔页岩油区块、克拉玛依区块</w:t>
            </w:r>
            <w:r>
              <w:rPr>
                <w:rFonts w:hint="eastAsia" w:cs="Times New Roman"/>
                <w:lang w:val="en-US" w:eastAsia="zh-CN"/>
              </w:rPr>
              <w:t>，现有1名项目部经理，2名仪器/工程施工人员</w:t>
            </w:r>
            <w:r>
              <w:rPr>
                <w:rFonts w:hint="eastAsia"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72"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lang w:val="en-US" w:eastAsia="zh-CN"/>
              </w:rPr>
            </w:pPr>
            <w:r>
              <w:rPr>
                <w:rFonts w:hint="eastAsia"/>
                <w:lang w:val="en-US" w:eastAsia="zh-CN"/>
              </w:rPr>
              <w:t>7</w:t>
            </w:r>
          </w:p>
        </w:tc>
        <w:tc>
          <w:tcPr>
            <w:tcW w:w="816"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rPr>
              <w:t>西北局</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37</w:t>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项目部位于新疆巴音郭楞蒙古自治州轮台县，服务区块包括中石化塔河、中石油塔指山前、富满、顺北等油区</w:t>
            </w:r>
            <w:r>
              <w:rPr>
                <w:rFonts w:hint="eastAsia" w:cs="Times New Roman"/>
                <w:lang w:val="en-US" w:eastAsia="zh-CN"/>
              </w:rPr>
              <w:t>，现有1名项目部经理，36名仪器/工程施工人员</w:t>
            </w:r>
            <w:r>
              <w:rPr>
                <w:rFonts w:hint="eastAsia" w:ascii="Times New Roman" w:hAnsi="Times New Roman" w:eastAsia="宋体" w:cs="Times New Roman"/>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72"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lang w:val="en-US" w:eastAsia="zh-CN"/>
              </w:rPr>
            </w:pPr>
            <w:r>
              <w:rPr>
                <w:rFonts w:hint="eastAsia"/>
                <w:lang w:val="en-US" w:eastAsia="zh-CN"/>
              </w:rPr>
              <w:t>8</w:t>
            </w:r>
          </w:p>
        </w:tc>
        <w:tc>
          <w:tcPr>
            <w:tcW w:w="816" w:type="pct"/>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合计</w:t>
            </w:r>
          </w:p>
        </w:tc>
        <w:tc>
          <w:tcPr>
            <w:tcW w:w="596" w:type="pct"/>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rPr>
            </w:pPr>
            <w:r>
              <w:rPr>
                <w:rFonts w:hint="eastAsia" w:cs="Times New Roman"/>
                <w:lang w:val="en-US" w:eastAsia="zh-CN"/>
              </w:rPr>
              <w:fldChar w:fldCharType="begin"/>
            </w:r>
            <w:r>
              <w:rPr>
                <w:rFonts w:hint="eastAsia" w:cs="Times New Roman"/>
                <w:lang w:val="en-US" w:eastAsia="zh-CN"/>
              </w:rPr>
              <w:instrText xml:space="preserve"> = sum(C2:C8) \* MERGEFORMAT </w:instrText>
            </w:r>
            <w:r>
              <w:rPr>
                <w:rFonts w:hint="eastAsia" w:cs="Times New Roman"/>
                <w:lang w:val="en-US" w:eastAsia="zh-CN"/>
              </w:rPr>
              <w:fldChar w:fldCharType="separate"/>
            </w:r>
            <w:r>
              <w:rPr>
                <w:rFonts w:hint="eastAsia" w:cs="Times New Roman"/>
                <w:lang w:val="en-US" w:eastAsia="zh-CN"/>
              </w:rPr>
              <w:t>99</w:t>
            </w:r>
            <w:r>
              <w:rPr>
                <w:rFonts w:hint="eastAsia" w:cs="Times New Roman"/>
                <w:lang w:val="en-US" w:eastAsia="zh-CN"/>
              </w:rPr>
              <w:fldChar w:fldCharType="end"/>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 sum(D2:D8) \* MERGEFORMAT </w:instrText>
            </w:r>
            <w:r>
              <w:rPr>
                <w:rFonts w:hint="eastAsia" w:ascii="Times New Roman" w:hAnsi="Times New Roman" w:eastAsia="宋体" w:cs="Times New Roman"/>
              </w:rPr>
              <w:fldChar w:fldCharType="separate"/>
            </w:r>
            <w:r>
              <w:rPr>
                <w:rFonts w:hint="eastAsia" w:ascii="Times New Roman" w:hAnsi="Times New Roman" w:eastAsia="宋体" w:cs="Times New Roman"/>
              </w:rPr>
              <w:fldChar w:fldCharType="end"/>
            </w:r>
          </w:p>
        </w:tc>
        <w:tc>
          <w:tcPr>
            <w:tcW w:w="3015" w:type="pct"/>
            <w:vAlign w:val="center"/>
          </w:tcPr>
          <w:p>
            <w:pPr>
              <w:keepNext w:val="0"/>
              <w:keepLines w:val="0"/>
              <w:suppressLineNumbers w:val="0"/>
              <w:adjustRightInd w:val="0"/>
              <w:snapToGrid w:val="0"/>
              <w:spacing w:before="62" w:beforeLines="20" w:beforeAutospacing="0" w:after="62" w:afterLines="20" w:afterAutospacing="0"/>
              <w:ind w:left="0" w:right="0"/>
              <w:jc w:val="both"/>
              <w:rPr>
                <w:rFonts w:hint="eastAsia" w:ascii="Times New Roman" w:hAnsi="Times New Roman" w:eastAsia="宋体" w:cs="Times New Roman"/>
                <w:lang w:val="en-US" w:eastAsia="zh-CN"/>
              </w:rPr>
            </w:pPr>
          </w:p>
        </w:tc>
      </w:tr>
    </w:tbl>
    <w:p>
      <w:pPr>
        <w:pStyle w:val="5"/>
        <w:adjustRightInd w:val="0"/>
        <w:snapToGrid w:val="0"/>
        <w:spacing w:line="360" w:lineRule="auto"/>
        <w:ind w:firstLine="422"/>
        <w:jc w:val="both"/>
        <w:rPr>
          <w:rFonts w:hint="eastAsia" w:eastAsia="宋体"/>
          <w:b/>
          <w:bCs w:val="0"/>
          <w:szCs w:val="21"/>
          <w:lang w:val="en-US" w:eastAsia="zh-CN"/>
        </w:rPr>
      </w:pPr>
      <w:r>
        <w:rPr>
          <w:rFonts w:hint="eastAsia"/>
          <w:b/>
          <w:bCs w:val="0"/>
          <w:szCs w:val="21"/>
          <w:lang w:val="en-US" w:eastAsia="zh-CN"/>
        </w:rPr>
        <w:t>注：以上</w:t>
      </w:r>
      <w:r>
        <w:rPr>
          <w:rFonts w:hint="eastAsia"/>
          <w:b/>
          <w:bCs w:val="0"/>
          <w:lang w:val="en-US" w:eastAsia="zh-CN"/>
        </w:rPr>
        <w:t>项目部人员组成为</w:t>
      </w:r>
      <w:r>
        <w:rPr>
          <w:rFonts w:hint="eastAsia"/>
          <w:b/>
          <w:bCs w:val="0"/>
          <w:szCs w:val="21"/>
          <w:lang w:val="en-US" w:eastAsia="zh-CN"/>
        </w:rPr>
        <w:t>斯伦贝谢油田技术（山东）有限公司本次安全现状</w:t>
      </w:r>
      <w:r>
        <w:rPr>
          <w:rFonts w:hint="eastAsia"/>
          <w:b/>
          <w:bCs w:val="0"/>
          <w:lang w:val="en-US" w:eastAsia="zh-CN"/>
        </w:rPr>
        <w:t>评价期间的状态，项目部人员组成随时根据各项目实际作业情况由公司</w:t>
      </w:r>
      <w:r>
        <w:rPr>
          <w:rFonts w:hint="eastAsia"/>
          <w:b/>
          <w:bCs w:val="0"/>
          <w:color w:val="auto"/>
          <w:lang w:val="en-US" w:eastAsia="zh-CN"/>
        </w:rPr>
        <w:t>统一</w:t>
      </w:r>
      <w:r>
        <w:rPr>
          <w:rFonts w:hint="eastAsia"/>
          <w:b/>
          <w:bCs w:val="0"/>
          <w:lang w:val="en-US" w:eastAsia="zh-CN"/>
        </w:rPr>
        <w:t>负责调配。</w:t>
      </w:r>
    </w:p>
    <w:p>
      <w:pPr>
        <w:pStyle w:val="4"/>
        <w:adjustRightInd w:val="0"/>
        <w:snapToGrid w:val="0"/>
        <w:spacing w:before="0" w:after="0" w:line="360" w:lineRule="auto"/>
        <w:rPr>
          <w:rFonts w:ascii="Times New Roman" w:hAnsi="Times New Roman"/>
          <w:b w:val="0"/>
          <w:bCs/>
          <w:szCs w:val="32"/>
        </w:rPr>
      </w:pPr>
      <w:bookmarkStart w:id="23" w:name="_Toc13683"/>
      <w:r>
        <w:rPr>
          <w:rFonts w:hint="eastAsia" w:ascii="Times New Roman" w:hAnsi="Times New Roman"/>
          <w:b w:val="0"/>
          <w:bCs/>
          <w:szCs w:val="32"/>
        </w:rPr>
        <w:t>2.</w:t>
      </w:r>
      <w:r>
        <w:rPr>
          <w:rFonts w:ascii="Times New Roman" w:hAnsi="Times New Roman"/>
          <w:b w:val="0"/>
          <w:bCs/>
          <w:szCs w:val="32"/>
        </w:rPr>
        <w:t xml:space="preserve">3 </w:t>
      </w:r>
      <w:r>
        <w:rPr>
          <w:rFonts w:hint="eastAsia" w:ascii="Times New Roman" w:hAnsi="Times New Roman"/>
          <w:b w:val="0"/>
          <w:bCs/>
          <w:szCs w:val="32"/>
        </w:rPr>
        <w:t>主要装备、设施、作业场所概况</w:t>
      </w:r>
      <w:bookmarkEnd w:id="21"/>
      <w:bookmarkEnd w:id="23"/>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2.</w:t>
      </w:r>
      <w:r>
        <w:rPr>
          <w:rFonts w:eastAsia="黑体"/>
          <w:b w:val="0"/>
          <w:snapToGrid w:val="0"/>
          <w:kern w:val="0"/>
          <w:sz w:val="28"/>
          <w:szCs w:val="28"/>
        </w:rPr>
        <w:t>3</w:t>
      </w:r>
      <w:r>
        <w:rPr>
          <w:rFonts w:hint="eastAsia" w:eastAsia="黑体"/>
          <w:b w:val="0"/>
          <w:snapToGrid w:val="0"/>
          <w:kern w:val="0"/>
          <w:sz w:val="28"/>
          <w:szCs w:val="28"/>
        </w:rPr>
        <w:t>.1</w:t>
      </w:r>
      <w:r>
        <w:rPr>
          <w:rFonts w:eastAsia="黑体"/>
          <w:b w:val="0"/>
          <w:snapToGrid w:val="0"/>
          <w:kern w:val="0"/>
          <w:sz w:val="28"/>
          <w:szCs w:val="28"/>
        </w:rPr>
        <w:t xml:space="preserve"> </w:t>
      </w:r>
      <w:r>
        <w:rPr>
          <w:rFonts w:hint="eastAsia" w:eastAsia="黑体"/>
          <w:b w:val="0"/>
          <w:snapToGrid w:val="0"/>
          <w:kern w:val="0"/>
          <w:sz w:val="28"/>
          <w:szCs w:val="28"/>
        </w:rPr>
        <w:t>作业类型</w:t>
      </w:r>
    </w:p>
    <w:p>
      <w:pPr>
        <w:pStyle w:val="5"/>
        <w:adjustRightInd w:val="0"/>
        <w:snapToGrid w:val="0"/>
        <w:spacing w:line="360" w:lineRule="auto"/>
        <w:ind w:firstLine="560"/>
        <w:rPr>
          <w:sz w:val="28"/>
          <w:szCs w:val="28"/>
        </w:rPr>
      </w:pPr>
      <w:r>
        <w:rPr>
          <w:rFonts w:hint="eastAsia"/>
          <w:sz w:val="28"/>
          <w:szCs w:val="28"/>
        </w:rPr>
        <w:t>斯伦贝谢油田技术（山东）有限公司作业类型为钻井（</w:t>
      </w:r>
      <w:r>
        <w:rPr>
          <w:rFonts w:hint="eastAsia"/>
          <w:sz w:val="28"/>
          <w:szCs w:val="28"/>
          <w:lang w:eastAsia="zh-CN"/>
        </w:rPr>
        <w:t>定向施工</w:t>
      </w:r>
      <w:r>
        <w:rPr>
          <w:rFonts w:hint="eastAsia"/>
          <w:sz w:val="28"/>
          <w:szCs w:val="28"/>
        </w:rPr>
        <w:t>）。</w:t>
      </w:r>
    </w:p>
    <w:p>
      <w:pPr>
        <w:pStyle w:val="5"/>
        <w:adjustRightInd w:val="0"/>
        <w:snapToGrid w:val="0"/>
        <w:spacing w:line="360" w:lineRule="auto"/>
        <w:ind w:firstLine="560"/>
        <w:rPr>
          <w:sz w:val="28"/>
          <w:szCs w:val="28"/>
        </w:rPr>
      </w:pPr>
      <w:r>
        <w:rPr>
          <w:rFonts w:hint="eastAsia"/>
          <w:sz w:val="28"/>
          <w:szCs w:val="28"/>
          <w:lang w:eastAsia="zh-CN"/>
        </w:rPr>
        <w:t>定向施工</w:t>
      </w:r>
      <w:r>
        <w:rPr>
          <w:rFonts w:hint="eastAsia"/>
          <w:sz w:val="28"/>
          <w:szCs w:val="28"/>
        </w:rPr>
        <w:t>是指钻机在钻进的同时连续不断地检测有关钻孔或钻头的信息，靠跟踪与导向仪实现。因此，跟踪与导向仪是水平定向钻机施工的必备测量设备。随钻测井LWD（Logging While Drilling）是在MWD（</w:t>
      </w:r>
      <w:r>
        <w:rPr>
          <w:rFonts w:hint="eastAsia"/>
          <w:sz w:val="28"/>
          <w:szCs w:val="28"/>
          <w:lang w:eastAsia="zh-CN"/>
        </w:rPr>
        <w:t>定向施工</w:t>
      </w:r>
      <w:r>
        <w:rPr>
          <w:rFonts w:hint="eastAsia"/>
          <w:sz w:val="28"/>
          <w:szCs w:val="28"/>
        </w:rPr>
        <w:t>Measure While Drilling）的基础上，增加若干用于地层评价的参数传感器。</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2.</w:t>
      </w:r>
      <w:r>
        <w:rPr>
          <w:rFonts w:eastAsia="黑体"/>
          <w:b w:val="0"/>
          <w:snapToGrid w:val="0"/>
          <w:kern w:val="0"/>
          <w:sz w:val="28"/>
          <w:szCs w:val="28"/>
        </w:rPr>
        <w:t>3</w:t>
      </w:r>
      <w:r>
        <w:rPr>
          <w:rFonts w:hint="eastAsia" w:eastAsia="黑体"/>
          <w:b w:val="0"/>
          <w:snapToGrid w:val="0"/>
          <w:kern w:val="0"/>
          <w:sz w:val="28"/>
          <w:szCs w:val="28"/>
        </w:rPr>
        <w:t>.2</w:t>
      </w:r>
      <w:r>
        <w:rPr>
          <w:rFonts w:eastAsia="黑体"/>
          <w:b w:val="0"/>
          <w:snapToGrid w:val="0"/>
          <w:kern w:val="0"/>
          <w:sz w:val="28"/>
          <w:szCs w:val="28"/>
        </w:rPr>
        <w:t xml:space="preserve"> </w:t>
      </w:r>
      <w:r>
        <w:rPr>
          <w:rFonts w:hint="eastAsia" w:eastAsia="黑体"/>
          <w:b w:val="0"/>
          <w:snapToGrid w:val="0"/>
          <w:kern w:val="0"/>
          <w:sz w:val="28"/>
          <w:szCs w:val="28"/>
        </w:rPr>
        <w:t>作业流程</w:t>
      </w:r>
    </w:p>
    <w:p>
      <w:pPr>
        <w:pStyle w:val="5"/>
        <w:adjustRightInd w:val="0"/>
        <w:snapToGrid w:val="0"/>
        <w:spacing w:line="360" w:lineRule="auto"/>
        <w:ind w:firstLine="560"/>
        <w:rPr>
          <w:sz w:val="28"/>
          <w:szCs w:val="28"/>
        </w:rPr>
      </w:pPr>
      <w:r>
        <w:rPr>
          <w:rFonts w:hint="eastAsia"/>
          <w:sz w:val="28"/>
          <w:szCs w:val="28"/>
        </w:rPr>
        <w:t>1.</w:t>
      </w:r>
      <w:r>
        <w:rPr>
          <w:rFonts w:hint="eastAsia"/>
          <w:sz w:val="28"/>
          <w:szCs w:val="28"/>
        </w:rPr>
        <w:tab/>
      </w:r>
      <w:r>
        <w:rPr>
          <w:rFonts w:hint="eastAsia"/>
          <w:sz w:val="28"/>
          <w:szCs w:val="28"/>
        </w:rPr>
        <w:t>依照甲方/客户作业服务通知，了解井场的信息，如井场位置， 井身设计等作业资料。</w:t>
      </w:r>
    </w:p>
    <w:p>
      <w:pPr>
        <w:pStyle w:val="5"/>
        <w:adjustRightInd w:val="0"/>
        <w:snapToGrid w:val="0"/>
        <w:spacing w:line="360" w:lineRule="auto"/>
        <w:ind w:firstLine="560"/>
        <w:rPr>
          <w:sz w:val="28"/>
          <w:szCs w:val="28"/>
        </w:rPr>
      </w:pPr>
      <w:r>
        <w:rPr>
          <w:rFonts w:hint="eastAsia"/>
          <w:sz w:val="28"/>
          <w:szCs w:val="28"/>
        </w:rPr>
        <w:t>2.</w:t>
      </w:r>
      <w:r>
        <w:rPr>
          <w:rFonts w:hint="eastAsia"/>
          <w:sz w:val="28"/>
          <w:szCs w:val="28"/>
        </w:rPr>
        <w:tab/>
      </w:r>
      <w:r>
        <w:rPr>
          <w:rFonts w:hint="eastAsia"/>
          <w:sz w:val="28"/>
          <w:szCs w:val="28"/>
        </w:rPr>
        <w:t>根据本井服务段的需求，及时下发仪器需求单给</w:t>
      </w:r>
      <w:r>
        <w:rPr>
          <w:rFonts w:hint="eastAsia"/>
          <w:color w:val="auto"/>
          <w:sz w:val="28"/>
          <w:szCs w:val="28"/>
          <w:lang w:val="en-US" w:eastAsia="zh-CN"/>
        </w:rPr>
        <w:t>东营本部</w:t>
      </w:r>
      <w:r>
        <w:rPr>
          <w:rFonts w:hint="eastAsia"/>
          <w:sz w:val="28"/>
          <w:szCs w:val="28"/>
        </w:rPr>
        <w:t>，配置相关仪器参数。</w:t>
      </w:r>
    </w:p>
    <w:p>
      <w:pPr>
        <w:pStyle w:val="5"/>
        <w:adjustRightInd w:val="0"/>
        <w:snapToGrid w:val="0"/>
        <w:spacing w:line="360" w:lineRule="auto"/>
        <w:ind w:firstLine="560"/>
        <w:rPr>
          <w:sz w:val="28"/>
          <w:szCs w:val="28"/>
        </w:rPr>
      </w:pPr>
      <w:r>
        <w:rPr>
          <w:rFonts w:hint="eastAsia"/>
          <w:sz w:val="28"/>
          <w:szCs w:val="28"/>
        </w:rPr>
        <w:t>3.</w:t>
      </w:r>
      <w:r>
        <w:rPr>
          <w:rFonts w:hint="eastAsia"/>
          <w:color w:val="auto"/>
          <w:sz w:val="28"/>
          <w:szCs w:val="28"/>
        </w:rPr>
        <w:tab/>
      </w:r>
      <w:r>
        <w:rPr>
          <w:rFonts w:hint="eastAsia"/>
          <w:color w:val="auto"/>
          <w:sz w:val="28"/>
          <w:szCs w:val="28"/>
          <w:lang w:val="en-US" w:eastAsia="zh-CN"/>
        </w:rPr>
        <w:t>东营本部</w:t>
      </w:r>
      <w:r>
        <w:rPr>
          <w:rFonts w:hint="eastAsia"/>
          <w:color w:val="auto"/>
          <w:sz w:val="28"/>
          <w:szCs w:val="28"/>
        </w:rPr>
        <w:t>准备双配置仪器，仪器</w:t>
      </w:r>
      <w:r>
        <w:rPr>
          <w:rFonts w:hint="eastAsia"/>
          <w:color w:val="auto"/>
          <w:sz w:val="28"/>
          <w:szCs w:val="28"/>
          <w:lang w:val="en-US" w:eastAsia="zh-CN"/>
        </w:rPr>
        <w:t>主管</w:t>
      </w:r>
      <w:r>
        <w:rPr>
          <w:rFonts w:hint="eastAsia"/>
          <w:color w:val="auto"/>
          <w:sz w:val="28"/>
          <w:szCs w:val="28"/>
        </w:rPr>
        <w:t>仔</w:t>
      </w:r>
      <w:r>
        <w:rPr>
          <w:rFonts w:hint="eastAsia"/>
          <w:sz w:val="28"/>
          <w:szCs w:val="28"/>
        </w:rPr>
        <w:t>细检查及测试，保证设备能正常工作。</w:t>
      </w:r>
    </w:p>
    <w:p>
      <w:pPr>
        <w:pStyle w:val="5"/>
        <w:adjustRightInd w:val="0"/>
        <w:snapToGrid w:val="0"/>
        <w:spacing w:line="360" w:lineRule="auto"/>
        <w:ind w:firstLine="560"/>
        <w:rPr>
          <w:sz w:val="28"/>
          <w:szCs w:val="28"/>
        </w:rPr>
      </w:pPr>
      <w:r>
        <w:rPr>
          <w:rFonts w:hint="eastAsia"/>
          <w:sz w:val="28"/>
          <w:szCs w:val="28"/>
        </w:rPr>
        <w:t>4.</w:t>
      </w:r>
      <w:r>
        <w:rPr>
          <w:rFonts w:hint="eastAsia"/>
          <w:sz w:val="28"/>
          <w:szCs w:val="28"/>
        </w:rPr>
        <w:tab/>
      </w:r>
      <w:r>
        <w:rPr>
          <w:rFonts w:hint="eastAsia"/>
          <w:sz w:val="28"/>
          <w:szCs w:val="28"/>
        </w:rPr>
        <w:t>运送设备</w:t>
      </w:r>
      <w:r>
        <w:rPr>
          <w:rFonts w:hint="eastAsia"/>
          <w:sz w:val="28"/>
          <w:szCs w:val="28"/>
          <w:lang w:val="en-US" w:eastAsia="zh-CN"/>
        </w:rPr>
        <w:t>设施</w:t>
      </w:r>
      <w:r>
        <w:rPr>
          <w:rFonts w:hint="eastAsia"/>
          <w:sz w:val="28"/>
          <w:szCs w:val="28"/>
        </w:rPr>
        <w:t>到井场。</w:t>
      </w:r>
    </w:p>
    <w:p>
      <w:pPr>
        <w:pStyle w:val="5"/>
        <w:adjustRightInd w:val="0"/>
        <w:snapToGrid w:val="0"/>
        <w:spacing w:line="360" w:lineRule="auto"/>
        <w:ind w:firstLine="560"/>
        <w:rPr>
          <w:sz w:val="28"/>
          <w:szCs w:val="28"/>
        </w:rPr>
      </w:pPr>
      <w:r>
        <w:rPr>
          <w:rFonts w:hint="eastAsia"/>
          <w:sz w:val="28"/>
          <w:szCs w:val="28"/>
        </w:rPr>
        <w:t>5.</w:t>
      </w:r>
      <w:r>
        <w:rPr>
          <w:rFonts w:hint="eastAsia"/>
          <w:sz w:val="28"/>
          <w:szCs w:val="28"/>
        </w:rPr>
        <w:tab/>
      </w:r>
      <w:r>
        <w:rPr>
          <w:rFonts w:hint="eastAsia"/>
          <w:sz w:val="28"/>
          <w:szCs w:val="28"/>
        </w:rPr>
        <w:t>在井场野营房内连接好各项地面数据采集设施，并架设各类传感器（泵压传感器，井深传感器等）及相关数据线（泵压线，司显线等）。</w:t>
      </w:r>
    </w:p>
    <w:p>
      <w:pPr>
        <w:pStyle w:val="5"/>
        <w:adjustRightInd w:val="0"/>
        <w:snapToGrid w:val="0"/>
        <w:spacing w:line="360" w:lineRule="auto"/>
        <w:ind w:firstLine="560"/>
        <w:rPr>
          <w:sz w:val="28"/>
          <w:szCs w:val="28"/>
        </w:rPr>
      </w:pPr>
      <w:r>
        <w:rPr>
          <w:rFonts w:hint="eastAsia"/>
          <w:sz w:val="28"/>
          <w:szCs w:val="28"/>
        </w:rPr>
        <w:t>6.</w:t>
      </w:r>
      <w:r>
        <w:rPr>
          <w:rFonts w:hint="eastAsia"/>
          <w:sz w:val="28"/>
          <w:szCs w:val="28"/>
        </w:rPr>
        <w:tab/>
      </w:r>
      <w:r>
        <w:rPr>
          <w:rFonts w:hint="eastAsia"/>
          <w:color w:val="auto"/>
          <w:sz w:val="28"/>
          <w:szCs w:val="28"/>
        </w:rPr>
        <w:t>仪器操作人员连</w:t>
      </w:r>
      <w:r>
        <w:rPr>
          <w:rFonts w:hint="eastAsia"/>
          <w:sz w:val="28"/>
          <w:szCs w:val="28"/>
        </w:rPr>
        <w:t>接好井下仪器串，通过地面设备读取仪器角差。</w:t>
      </w:r>
    </w:p>
    <w:p>
      <w:pPr>
        <w:pStyle w:val="5"/>
        <w:adjustRightInd w:val="0"/>
        <w:snapToGrid w:val="0"/>
        <w:spacing w:line="360" w:lineRule="auto"/>
        <w:ind w:firstLine="560"/>
        <w:rPr>
          <w:sz w:val="28"/>
          <w:szCs w:val="28"/>
        </w:rPr>
      </w:pPr>
      <w:r>
        <w:rPr>
          <w:rFonts w:hint="eastAsia"/>
          <w:sz w:val="28"/>
          <w:szCs w:val="28"/>
        </w:rPr>
        <w:t>7.</w:t>
      </w:r>
      <w:r>
        <w:rPr>
          <w:rFonts w:hint="eastAsia"/>
          <w:sz w:val="28"/>
          <w:szCs w:val="28"/>
        </w:rPr>
        <w:tab/>
      </w:r>
      <w:r>
        <w:rPr>
          <w:rFonts w:hint="eastAsia"/>
          <w:sz w:val="28"/>
          <w:szCs w:val="28"/>
        </w:rPr>
        <w:t>做好入井前整串仪器检测，测试正常后待命。</w:t>
      </w:r>
    </w:p>
    <w:p>
      <w:pPr>
        <w:pStyle w:val="5"/>
        <w:adjustRightInd w:val="0"/>
        <w:snapToGrid w:val="0"/>
        <w:spacing w:line="360" w:lineRule="auto"/>
        <w:ind w:firstLine="560"/>
        <w:rPr>
          <w:sz w:val="28"/>
          <w:szCs w:val="28"/>
        </w:rPr>
      </w:pPr>
      <w:r>
        <w:rPr>
          <w:rFonts w:hint="eastAsia"/>
          <w:sz w:val="28"/>
          <w:szCs w:val="28"/>
        </w:rPr>
        <w:t>8.</w:t>
      </w:r>
      <w:r>
        <w:rPr>
          <w:rFonts w:hint="eastAsia"/>
          <w:sz w:val="28"/>
          <w:szCs w:val="28"/>
        </w:rPr>
        <w:tab/>
      </w:r>
      <w:r>
        <w:rPr>
          <w:rFonts w:hint="eastAsia"/>
          <w:sz w:val="28"/>
          <w:szCs w:val="28"/>
        </w:rPr>
        <w:t>协助井队配置好钻具，把仪器悬挂短节装在转盘面上。</w:t>
      </w:r>
    </w:p>
    <w:p>
      <w:pPr>
        <w:pStyle w:val="5"/>
        <w:adjustRightInd w:val="0"/>
        <w:snapToGrid w:val="0"/>
        <w:spacing w:line="360" w:lineRule="auto"/>
        <w:ind w:firstLine="560"/>
        <w:rPr>
          <w:sz w:val="28"/>
          <w:szCs w:val="28"/>
        </w:rPr>
      </w:pPr>
      <w:r>
        <w:rPr>
          <w:rFonts w:hint="eastAsia"/>
          <w:sz w:val="28"/>
          <w:szCs w:val="28"/>
        </w:rPr>
        <w:t>9.</w:t>
      </w:r>
      <w:r>
        <w:rPr>
          <w:rFonts w:hint="eastAsia"/>
          <w:sz w:val="28"/>
          <w:szCs w:val="28"/>
        </w:rPr>
        <w:tab/>
      </w:r>
      <w:r>
        <w:rPr>
          <w:rFonts w:hint="eastAsia"/>
          <w:sz w:val="28"/>
          <w:szCs w:val="28"/>
        </w:rPr>
        <w:t>把准备好的仪器通过气动绞车吊上钻台，装在悬挂短节里。</w:t>
      </w:r>
    </w:p>
    <w:p>
      <w:pPr>
        <w:pStyle w:val="5"/>
        <w:adjustRightInd w:val="0"/>
        <w:snapToGrid w:val="0"/>
        <w:spacing w:line="360" w:lineRule="auto"/>
        <w:ind w:firstLine="560"/>
        <w:rPr>
          <w:sz w:val="28"/>
          <w:szCs w:val="28"/>
        </w:rPr>
      </w:pPr>
      <w:r>
        <w:rPr>
          <w:rFonts w:hint="eastAsia"/>
          <w:color w:val="auto"/>
          <w:sz w:val="28"/>
          <w:szCs w:val="28"/>
        </w:rPr>
        <w:t>10.工程</w:t>
      </w:r>
      <w:r>
        <w:rPr>
          <w:rFonts w:hint="eastAsia"/>
          <w:color w:val="auto"/>
          <w:sz w:val="28"/>
          <w:szCs w:val="28"/>
          <w:lang w:val="en-US" w:eastAsia="zh-CN"/>
        </w:rPr>
        <w:t>施工</w:t>
      </w:r>
      <w:r>
        <w:rPr>
          <w:rFonts w:hint="eastAsia"/>
          <w:color w:val="auto"/>
          <w:sz w:val="28"/>
          <w:szCs w:val="28"/>
        </w:rPr>
        <w:t>人员在</w:t>
      </w:r>
      <w:r>
        <w:rPr>
          <w:rFonts w:hint="eastAsia"/>
          <w:sz w:val="28"/>
          <w:szCs w:val="28"/>
        </w:rPr>
        <w:t>钻台面量取仪器和螺杆马达的工具面角差。</w:t>
      </w:r>
    </w:p>
    <w:p>
      <w:pPr>
        <w:pStyle w:val="5"/>
        <w:adjustRightInd w:val="0"/>
        <w:snapToGrid w:val="0"/>
        <w:spacing w:line="360" w:lineRule="auto"/>
        <w:ind w:firstLine="560"/>
        <w:rPr>
          <w:sz w:val="28"/>
          <w:szCs w:val="28"/>
        </w:rPr>
      </w:pPr>
      <w:r>
        <w:rPr>
          <w:rFonts w:hint="eastAsia"/>
          <w:sz w:val="28"/>
          <w:szCs w:val="28"/>
        </w:rPr>
        <w:t>11.井口测试仪器，都正常后通知井队下钻。</w:t>
      </w:r>
    </w:p>
    <w:p>
      <w:pPr>
        <w:pStyle w:val="5"/>
        <w:adjustRightInd w:val="0"/>
        <w:snapToGrid w:val="0"/>
        <w:spacing w:line="360" w:lineRule="auto"/>
        <w:ind w:firstLine="560"/>
        <w:rPr>
          <w:sz w:val="28"/>
          <w:szCs w:val="28"/>
        </w:rPr>
      </w:pPr>
      <w:r>
        <w:rPr>
          <w:rFonts w:hint="eastAsia"/>
          <w:sz w:val="28"/>
          <w:szCs w:val="28"/>
        </w:rPr>
        <w:t>12.每下钻600米，灌泥浆顶通一次，监督井队人员在钻杆中放泥浆滤网。</w:t>
      </w:r>
    </w:p>
    <w:p>
      <w:pPr>
        <w:pStyle w:val="5"/>
        <w:adjustRightInd w:val="0"/>
        <w:snapToGrid w:val="0"/>
        <w:spacing w:line="360" w:lineRule="auto"/>
        <w:ind w:firstLine="560"/>
        <w:rPr>
          <w:sz w:val="28"/>
          <w:szCs w:val="28"/>
        </w:rPr>
      </w:pPr>
      <w:r>
        <w:rPr>
          <w:rFonts w:hint="eastAsia"/>
          <w:sz w:val="28"/>
          <w:szCs w:val="28"/>
        </w:rPr>
        <w:t>13.下钻到底后，先小排量循环，待循环一周后，再开到正常排量，一切正常后开始复合钻进或定向钻进。</w:t>
      </w:r>
    </w:p>
    <w:p>
      <w:pPr>
        <w:pStyle w:val="5"/>
        <w:adjustRightInd w:val="0"/>
        <w:snapToGrid w:val="0"/>
        <w:spacing w:line="360" w:lineRule="auto"/>
        <w:ind w:firstLine="560"/>
        <w:rPr>
          <w:sz w:val="28"/>
          <w:szCs w:val="28"/>
        </w:rPr>
      </w:pPr>
      <w:r>
        <w:rPr>
          <w:rFonts w:hint="eastAsia"/>
          <w:sz w:val="28"/>
          <w:szCs w:val="28"/>
        </w:rPr>
        <w:t>14.</w:t>
      </w:r>
      <w:r>
        <w:rPr>
          <w:rFonts w:hint="eastAsia"/>
          <w:color w:val="auto"/>
          <w:sz w:val="28"/>
          <w:szCs w:val="28"/>
        </w:rPr>
        <w:t>工程</w:t>
      </w:r>
      <w:r>
        <w:rPr>
          <w:rFonts w:hint="eastAsia"/>
          <w:color w:val="auto"/>
          <w:sz w:val="28"/>
          <w:szCs w:val="28"/>
          <w:lang w:val="en-US" w:eastAsia="zh-CN"/>
        </w:rPr>
        <w:t>施工</w:t>
      </w:r>
      <w:r>
        <w:rPr>
          <w:rFonts w:hint="eastAsia"/>
          <w:color w:val="auto"/>
          <w:sz w:val="28"/>
          <w:szCs w:val="28"/>
        </w:rPr>
        <w:t>人员根</w:t>
      </w:r>
      <w:r>
        <w:rPr>
          <w:rFonts w:hint="eastAsia"/>
          <w:sz w:val="28"/>
          <w:szCs w:val="28"/>
        </w:rPr>
        <w:t>据工程要求，及时准确通过MWD仪器测量各种参数，并做好记录。</w:t>
      </w:r>
    </w:p>
    <w:p>
      <w:pPr>
        <w:pStyle w:val="5"/>
        <w:adjustRightInd w:val="0"/>
        <w:snapToGrid w:val="0"/>
        <w:spacing w:line="360" w:lineRule="auto"/>
        <w:ind w:firstLine="560"/>
        <w:rPr>
          <w:sz w:val="28"/>
          <w:szCs w:val="28"/>
        </w:rPr>
      </w:pPr>
      <w:r>
        <w:rPr>
          <w:rFonts w:hint="eastAsia"/>
          <w:sz w:val="28"/>
          <w:szCs w:val="28"/>
        </w:rPr>
        <w:t>15.在井上突发意外设备故障时，</w:t>
      </w:r>
      <w:r>
        <w:rPr>
          <w:rFonts w:hint="eastAsia"/>
          <w:color w:val="auto"/>
          <w:sz w:val="28"/>
          <w:szCs w:val="28"/>
        </w:rPr>
        <w:t>仪器/工程</w:t>
      </w:r>
      <w:r>
        <w:rPr>
          <w:rFonts w:hint="eastAsia"/>
          <w:color w:val="auto"/>
          <w:sz w:val="28"/>
          <w:szCs w:val="28"/>
          <w:lang w:val="en-US" w:eastAsia="zh-CN"/>
        </w:rPr>
        <w:t>施工</w:t>
      </w:r>
      <w:r>
        <w:rPr>
          <w:rFonts w:hint="eastAsia"/>
          <w:color w:val="auto"/>
          <w:sz w:val="28"/>
          <w:szCs w:val="28"/>
        </w:rPr>
        <w:t>人员</w:t>
      </w:r>
      <w:r>
        <w:rPr>
          <w:rFonts w:hint="eastAsia"/>
          <w:sz w:val="28"/>
          <w:szCs w:val="28"/>
        </w:rPr>
        <w:t>按照正常的排故流程进行故障</w:t>
      </w:r>
      <w:r>
        <w:rPr>
          <w:rFonts w:hint="eastAsia"/>
          <w:color w:val="auto"/>
          <w:sz w:val="28"/>
          <w:szCs w:val="28"/>
        </w:rPr>
        <w:t>处理，及时将现场情况汇报给公司</w:t>
      </w:r>
      <w:r>
        <w:rPr>
          <w:rFonts w:hint="eastAsia"/>
          <w:color w:val="auto"/>
          <w:sz w:val="28"/>
          <w:szCs w:val="28"/>
          <w:lang w:val="en-US" w:eastAsia="zh-CN"/>
        </w:rPr>
        <w:t>作业部副总经理</w:t>
      </w:r>
      <w:r>
        <w:rPr>
          <w:rFonts w:hint="eastAsia"/>
          <w:color w:val="auto"/>
          <w:sz w:val="28"/>
          <w:szCs w:val="28"/>
        </w:rPr>
        <w:t>/项目</w:t>
      </w:r>
      <w:r>
        <w:rPr>
          <w:rFonts w:hint="eastAsia"/>
          <w:color w:val="auto"/>
          <w:sz w:val="28"/>
          <w:szCs w:val="28"/>
          <w:lang w:val="en-US" w:eastAsia="zh-CN"/>
        </w:rPr>
        <w:t>部经理</w:t>
      </w:r>
      <w:r>
        <w:rPr>
          <w:rFonts w:hint="eastAsia"/>
          <w:color w:val="auto"/>
          <w:sz w:val="28"/>
          <w:szCs w:val="28"/>
        </w:rPr>
        <w:t>，配合井</w:t>
      </w:r>
      <w:r>
        <w:rPr>
          <w:rFonts w:hint="eastAsia"/>
          <w:sz w:val="28"/>
          <w:szCs w:val="28"/>
        </w:rPr>
        <w:t>队做好工作。</w:t>
      </w:r>
    </w:p>
    <w:p>
      <w:pPr>
        <w:pStyle w:val="5"/>
        <w:adjustRightInd w:val="0"/>
        <w:snapToGrid w:val="0"/>
        <w:spacing w:line="360" w:lineRule="auto"/>
        <w:ind w:firstLine="560"/>
        <w:rPr>
          <w:sz w:val="28"/>
          <w:szCs w:val="28"/>
        </w:rPr>
      </w:pPr>
      <w:r>
        <w:rPr>
          <w:rFonts w:hint="eastAsia"/>
          <w:sz w:val="28"/>
          <w:szCs w:val="28"/>
        </w:rPr>
        <w:t>16.根据实际情况，在仪器允许的使用时间内起钻检查/保养仪器。</w:t>
      </w:r>
    </w:p>
    <w:p>
      <w:pPr>
        <w:pStyle w:val="5"/>
        <w:adjustRightInd w:val="0"/>
        <w:snapToGrid w:val="0"/>
        <w:spacing w:line="360" w:lineRule="auto"/>
        <w:ind w:firstLine="560"/>
        <w:rPr>
          <w:sz w:val="28"/>
          <w:szCs w:val="28"/>
        </w:rPr>
      </w:pPr>
      <w:r>
        <w:rPr>
          <w:rFonts w:hint="eastAsia"/>
          <w:sz w:val="28"/>
          <w:szCs w:val="28"/>
        </w:rPr>
        <w:t>17.仪器从井口取出后，要清洗干净，并测试仪器是否正常，有故障的仪器要填写故障报告，并完善好每趟钻的下井报告，把仪器从钻台上甩下后，小心装箱，准备返回基地保养。</w:t>
      </w:r>
    </w:p>
    <w:p>
      <w:pPr>
        <w:pStyle w:val="5"/>
        <w:adjustRightInd w:val="0"/>
        <w:snapToGrid w:val="0"/>
        <w:spacing w:line="360" w:lineRule="auto"/>
        <w:ind w:firstLine="560"/>
        <w:rPr>
          <w:sz w:val="28"/>
          <w:szCs w:val="28"/>
        </w:rPr>
      </w:pPr>
      <w:r>
        <w:rPr>
          <w:rFonts w:hint="eastAsia"/>
          <w:sz w:val="28"/>
          <w:szCs w:val="28"/>
        </w:rPr>
        <w:t>18.把仪器运送回基地检测。</w:t>
      </w:r>
    </w:p>
    <w:p>
      <w:pPr>
        <w:pStyle w:val="5"/>
        <w:adjustRightInd w:val="0"/>
        <w:snapToGrid w:val="0"/>
        <w:spacing w:line="360" w:lineRule="auto"/>
        <w:ind w:firstLine="560"/>
        <w:rPr>
          <w:sz w:val="28"/>
          <w:szCs w:val="28"/>
        </w:rPr>
      </w:pPr>
      <w:r>
        <w:rPr>
          <w:rFonts w:hint="eastAsia"/>
          <w:sz w:val="28"/>
          <w:szCs w:val="28"/>
        </w:rPr>
        <w:t>19.本井服务完成后，及时让井队/监督签署完井服务确认单，并准备好相关完井资料，发回公司内审通过后，再提交给客户。</w:t>
      </w:r>
    </w:p>
    <w:p>
      <w:pPr>
        <w:pStyle w:val="5"/>
        <w:adjustRightInd w:val="0"/>
        <w:snapToGrid w:val="0"/>
        <w:spacing w:line="360" w:lineRule="auto"/>
        <w:ind w:firstLine="560"/>
        <w:rPr>
          <w:sz w:val="28"/>
        </w:rPr>
      </w:pPr>
      <w:r>
        <w:rPr>
          <w:rFonts w:hint="eastAsia"/>
          <w:sz w:val="28"/>
          <w:szCs w:val="28"/>
        </w:rPr>
        <w:t>20.根据甲方/客户需求，在相关井位结束后，对作业过程中的优缺点进行汇总，召开质量服务反馈会议</w:t>
      </w:r>
      <w:r>
        <w:rPr>
          <w:rFonts w:hint="eastAsia"/>
          <w:sz w:val="28"/>
        </w:rPr>
        <w:t>。</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2.</w:t>
      </w:r>
      <w:r>
        <w:rPr>
          <w:rFonts w:eastAsia="黑体"/>
          <w:b w:val="0"/>
          <w:snapToGrid w:val="0"/>
          <w:kern w:val="0"/>
          <w:sz w:val="28"/>
          <w:szCs w:val="28"/>
        </w:rPr>
        <w:t>3</w:t>
      </w:r>
      <w:r>
        <w:rPr>
          <w:rFonts w:hint="eastAsia" w:eastAsia="黑体"/>
          <w:b w:val="0"/>
          <w:snapToGrid w:val="0"/>
          <w:kern w:val="0"/>
          <w:sz w:val="28"/>
          <w:szCs w:val="28"/>
        </w:rPr>
        <w:t>.</w:t>
      </w:r>
      <w:r>
        <w:rPr>
          <w:rFonts w:eastAsia="黑体"/>
          <w:b w:val="0"/>
          <w:snapToGrid w:val="0"/>
          <w:kern w:val="0"/>
          <w:sz w:val="28"/>
          <w:szCs w:val="28"/>
        </w:rPr>
        <w:t xml:space="preserve">3 </w:t>
      </w:r>
      <w:r>
        <w:rPr>
          <w:rFonts w:hint="eastAsia" w:eastAsia="黑体"/>
          <w:b w:val="0"/>
          <w:snapToGrid w:val="0"/>
          <w:kern w:val="0"/>
          <w:sz w:val="28"/>
          <w:szCs w:val="28"/>
        </w:rPr>
        <w:t>装备、设施的配备</w:t>
      </w:r>
    </w:p>
    <w:p>
      <w:pPr>
        <w:pStyle w:val="5"/>
        <w:adjustRightInd w:val="0"/>
        <w:snapToGrid w:val="0"/>
        <w:spacing w:line="360" w:lineRule="auto"/>
        <w:ind w:firstLine="560"/>
        <w:rPr>
          <w:sz w:val="28"/>
        </w:rPr>
      </w:pPr>
      <w:r>
        <w:rPr>
          <w:rFonts w:hint="eastAsia"/>
          <w:sz w:val="28"/>
          <w:szCs w:val="28"/>
          <w:lang w:eastAsia="zh-CN"/>
        </w:rPr>
        <w:t>斯伦贝谢油田技术（山东）有限公司</w:t>
      </w:r>
      <w:r>
        <w:rPr>
          <w:rFonts w:hint="eastAsia"/>
          <w:sz w:val="28"/>
          <w:szCs w:val="28"/>
          <w:lang w:val="en-US" w:eastAsia="zh-CN"/>
        </w:rPr>
        <w:t>钻井（定向施工）</w:t>
      </w:r>
      <w:r>
        <w:rPr>
          <w:rFonts w:hint="eastAsia"/>
          <w:sz w:val="28"/>
          <w:szCs w:val="28"/>
        </w:rPr>
        <w:t>作业</w:t>
      </w:r>
      <w:r>
        <w:rPr>
          <w:rFonts w:hint="eastAsia"/>
          <w:sz w:val="28"/>
        </w:rPr>
        <w:t>主要设备情况见表2</w:t>
      </w:r>
      <w:r>
        <w:rPr>
          <w:rFonts w:hint="eastAsia"/>
          <w:sz w:val="28"/>
          <w:lang w:val="en-US" w:eastAsia="zh-CN"/>
        </w:rPr>
        <w:t>.3</w:t>
      </w:r>
      <w:r>
        <w:rPr>
          <w:rFonts w:hint="eastAsia"/>
          <w:sz w:val="28"/>
        </w:rPr>
        <w:t>-1。</w:t>
      </w:r>
    </w:p>
    <w:p>
      <w:pPr>
        <w:pStyle w:val="5"/>
        <w:adjustRightInd w:val="0"/>
        <w:snapToGrid w:val="0"/>
        <w:spacing w:line="360" w:lineRule="auto"/>
        <w:ind w:firstLine="480"/>
        <w:jc w:val="center"/>
        <w:rPr>
          <w:b/>
          <w:bCs/>
          <w:sz w:val="24"/>
          <w:szCs w:val="28"/>
        </w:rPr>
      </w:pPr>
      <w:r>
        <w:rPr>
          <w:rFonts w:hint="eastAsia"/>
          <w:b/>
          <w:bCs/>
          <w:sz w:val="24"/>
          <w:szCs w:val="28"/>
        </w:rPr>
        <w:t>表2</w:t>
      </w:r>
      <w:r>
        <w:rPr>
          <w:rFonts w:hint="eastAsia"/>
          <w:b/>
          <w:bCs/>
          <w:sz w:val="24"/>
          <w:szCs w:val="28"/>
          <w:lang w:val="en-US" w:eastAsia="zh-CN"/>
        </w:rPr>
        <w:t>.3-</w:t>
      </w:r>
      <w:r>
        <w:rPr>
          <w:rFonts w:hint="eastAsia"/>
          <w:b/>
          <w:bCs/>
          <w:sz w:val="24"/>
          <w:szCs w:val="28"/>
        </w:rPr>
        <w:t>1</w:t>
      </w:r>
      <w:r>
        <w:rPr>
          <w:rFonts w:hint="eastAsia"/>
          <w:b/>
          <w:bCs/>
          <w:sz w:val="24"/>
          <w:szCs w:val="28"/>
          <w:lang w:val="en-US" w:eastAsia="zh-CN"/>
        </w:rPr>
        <w:t>钻井（定向施工）作业</w:t>
      </w:r>
      <w:r>
        <w:rPr>
          <w:rFonts w:hint="eastAsia"/>
          <w:b/>
          <w:bCs/>
          <w:sz w:val="24"/>
          <w:szCs w:val="28"/>
        </w:rPr>
        <w:t>主要设备清单</w:t>
      </w:r>
    </w:p>
    <w:tbl>
      <w:tblPr>
        <w:tblStyle w:val="52"/>
        <w:tblW w:w="85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5"/>
        <w:gridCol w:w="2719"/>
        <w:gridCol w:w="1017"/>
        <w:gridCol w:w="1841"/>
        <w:gridCol w:w="1077"/>
        <w:gridCol w:w="10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b/>
                <w:bCs/>
                <w:kern w:val="0"/>
                <w:szCs w:val="21"/>
              </w:rPr>
            </w:pPr>
            <w:bookmarkStart w:id="24" w:name="_Hlk534190105"/>
            <w:r>
              <w:rPr>
                <w:rFonts w:hint="eastAsia" w:cs="宋体"/>
                <w:b/>
                <w:bCs/>
                <w:kern w:val="0"/>
                <w:szCs w:val="21"/>
              </w:rPr>
              <w:t>序号</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b/>
                <w:bCs/>
                <w:kern w:val="0"/>
                <w:szCs w:val="21"/>
              </w:rPr>
            </w:pPr>
            <w:r>
              <w:rPr>
                <w:rFonts w:hint="eastAsia" w:cs="宋体"/>
                <w:b/>
                <w:bCs/>
                <w:kern w:val="0"/>
                <w:szCs w:val="21"/>
              </w:rPr>
              <w:t>设备名称</w:t>
            </w:r>
          </w:p>
        </w:tc>
        <w:tc>
          <w:tcPr>
            <w:tcW w:w="1017" w:type="dxa"/>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b/>
                <w:bCs/>
                <w:kern w:val="0"/>
                <w:szCs w:val="21"/>
                <w:lang w:eastAsia="zh-CN"/>
              </w:rPr>
            </w:pPr>
            <w:r>
              <w:rPr>
                <w:rFonts w:hint="eastAsia" w:cs="宋体"/>
                <w:b/>
                <w:bCs/>
                <w:kern w:val="0"/>
                <w:szCs w:val="21"/>
                <w:lang w:val="en-US" w:eastAsia="zh-CN"/>
              </w:rPr>
              <w:t>项目部</w:t>
            </w:r>
          </w:p>
        </w:tc>
        <w:tc>
          <w:tcPr>
            <w:tcW w:w="1841" w:type="dxa"/>
            <w:tcBorders>
              <w:lef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b/>
                <w:bCs/>
                <w:kern w:val="0"/>
                <w:szCs w:val="21"/>
                <w:lang w:val="en-US" w:eastAsia="zh-CN"/>
              </w:rPr>
            </w:pPr>
            <w:r>
              <w:rPr>
                <w:rFonts w:hint="eastAsia" w:cs="宋体"/>
                <w:b/>
                <w:bCs/>
                <w:kern w:val="0"/>
                <w:szCs w:val="21"/>
                <w:lang w:val="en-US" w:eastAsia="zh-CN"/>
              </w:rPr>
              <w:t>型号</w:t>
            </w:r>
          </w:p>
        </w:tc>
        <w:tc>
          <w:tcPr>
            <w:tcW w:w="1077" w:type="dxa"/>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b/>
                <w:bCs/>
                <w:kern w:val="0"/>
                <w:szCs w:val="21"/>
                <w:lang w:val="en-US" w:eastAsia="zh-CN"/>
              </w:rPr>
            </w:pPr>
            <w:r>
              <w:rPr>
                <w:rFonts w:hint="eastAsia" w:cs="宋体"/>
                <w:b/>
                <w:bCs/>
                <w:kern w:val="0"/>
                <w:szCs w:val="21"/>
                <w:lang w:val="en-US" w:eastAsia="zh-CN"/>
              </w:rPr>
              <w:t>数量（套）</w:t>
            </w:r>
          </w:p>
        </w:tc>
        <w:tc>
          <w:tcPr>
            <w:tcW w:w="1077" w:type="dxa"/>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b/>
                <w:bCs/>
                <w:kern w:val="0"/>
                <w:szCs w:val="21"/>
                <w:lang w:val="en-US" w:eastAsia="zh-CN"/>
              </w:rPr>
            </w:pPr>
            <w:r>
              <w:rPr>
                <w:rFonts w:hint="eastAsia" w:cs="宋体"/>
                <w:b/>
                <w:bCs/>
                <w:kern w:val="0"/>
                <w:szCs w:val="21"/>
                <w:lang w:val="en-US" w:eastAsia="zh-CN"/>
              </w:rPr>
              <w:t>特种设备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1</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LWD地质导向仪器</w:t>
            </w:r>
          </w:p>
        </w:tc>
        <w:tc>
          <w:tcPr>
            <w:tcW w:w="1017" w:type="dxa"/>
            <w:vMerge w:val="restart"/>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大庆项目部</w:t>
            </w:r>
          </w:p>
        </w:tc>
        <w:tc>
          <w:tcPr>
            <w:tcW w:w="1841" w:type="dxa"/>
            <w:tcBorders>
              <w:left w:val="single" w:color="auto" w:sz="4" w:space="0"/>
              <w:bottom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777-95198</w:t>
            </w:r>
          </w:p>
        </w:tc>
        <w:tc>
          <w:tcPr>
            <w:tcW w:w="1077" w:type="dxa"/>
            <w:tcBorders>
              <w:bottom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lang w:val="en-US" w:eastAsia="zh-CN"/>
              </w:rPr>
              <w:t>14</w:t>
            </w:r>
          </w:p>
        </w:tc>
        <w:tc>
          <w:tcPr>
            <w:tcW w:w="1077" w:type="dxa"/>
            <w:tcBorders>
              <w:bottom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2</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无磁钻铤</w:t>
            </w:r>
          </w:p>
        </w:tc>
        <w:tc>
          <w:tcPr>
            <w:tcW w:w="1017" w:type="dxa"/>
            <w:vMerge w:val="continue"/>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p>
        </w:tc>
        <w:tc>
          <w:tcPr>
            <w:tcW w:w="1841" w:type="dxa"/>
            <w:tcBorders>
              <w:top w:val="single" w:color="auto" w:sz="4" w:space="0"/>
              <w:lef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 xml:space="preserve">NMDC172X4000 </w:t>
            </w:r>
          </w:p>
        </w:tc>
        <w:tc>
          <w:tcPr>
            <w:tcW w:w="1077" w:type="dxa"/>
            <w:tcBorders>
              <w:top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8</w:t>
            </w:r>
          </w:p>
        </w:tc>
        <w:tc>
          <w:tcPr>
            <w:tcW w:w="1077" w:type="dxa"/>
            <w:tcBorders>
              <w:top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3</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MWD无线随钻测斜仪器</w:t>
            </w:r>
          </w:p>
        </w:tc>
        <w:tc>
          <w:tcPr>
            <w:tcW w:w="1017" w:type="dxa"/>
            <w:vMerge w:val="restart"/>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冀东项目部</w:t>
            </w:r>
          </w:p>
        </w:tc>
        <w:tc>
          <w:tcPr>
            <w:tcW w:w="1841" w:type="dxa"/>
            <w:tcBorders>
              <w:left w:val="single" w:color="auto" w:sz="4" w:space="0"/>
              <w:bottom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GMWD-125000AC-0003</w:t>
            </w:r>
          </w:p>
        </w:tc>
        <w:tc>
          <w:tcPr>
            <w:tcW w:w="1077" w:type="dxa"/>
            <w:tcBorders>
              <w:bottom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1077" w:type="dxa"/>
            <w:tcBorders>
              <w:bottom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4</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电子单多点测斜仪器</w:t>
            </w:r>
          </w:p>
        </w:tc>
        <w:tc>
          <w:tcPr>
            <w:tcW w:w="1017" w:type="dxa"/>
            <w:vMerge w:val="continue"/>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p>
        </w:tc>
        <w:tc>
          <w:tcPr>
            <w:tcW w:w="1841" w:type="dxa"/>
            <w:tcBorders>
              <w:top w:val="single" w:color="auto" w:sz="4" w:space="0"/>
              <w:lef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GES32-3000AB</w:t>
            </w:r>
          </w:p>
        </w:tc>
        <w:tc>
          <w:tcPr>
            <w:tcW w:w="1077" w:type="dxa"/>
            <w:tcBorders>
              <w:top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1077" w:type="dxa"/>
            <w:tcBorders>
              <w:top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5</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MWD无线随钻测斜仪器</w:t>
            </w:r>
          </w:p>
        </w:tc>
        <w:tc>
          <w:tcPr>
            <w:tcW w:w="1017" w:type="dxa"/>
            <w:vMerge w:val="restart"/>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西南项目部</w:t>
            </w:r>
          </w:p>
        </w:tc>
        <w:tc>
          <w:tcPr>
            <w:tcW w:w="1841" w:type="dxa"/>
            <w:tcBorders>
              <w:left w:val="single" w:color="auto" w:sz="4" w:space="0"/>
              <w:bottom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GMWD-125000AC-0003</w:t>
            </w:r>
          </w:p>
        </w:tc>
        <w:tc>
          <w:tcPr>
            <w:tcW w:w="1077" w:type="dxa"/>
            <w:tcBorders>
              <w:bottom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10</w:t>
            </w:r>
          </w:p>
        </w:tc>
        <w:tc>
          <w:tcPr>
            <w:tcW w:w="1077" w:type="dxa"/>
            <w:tcBorders>
              <w:bottom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6</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LWD地质导向仪器</w:t>
            </w:r>
          </w:p>
        </w:tc>
        <w:tc>
          <w:tcPr>
            <w:tcW w:w="1017" w:type="dxa"/>
            <w:vMerge w:val="continue"/>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p>
        </w:tc>
        <w:tc>
          <w:tcPr>
            <w:tcW w:w="1841" w:type="dxa"/>
            <w:tcBorders>
              <w:top w:val="single" w:color="auto" w:sz="4" w:space="0"/>
              <w:lef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777-95198</w:t>
            </w:r>
          </w:p>
        </w:tc>
        <w:tc>
          <w:tcPr>
            <w:tcW w:w="1077" w:type="dxa"/>
            <w:tcBorders>
              <w:top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1077" w:type="dxa"/>
            <w:tcBorders>
              <w:top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7</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LWD地质导向仪器</w:t>
            </w:r>
          </w:p>
        </w:tc>
        <w:tc>
          <w:tcPr>
            <w:tcW w:w="1017" w:type="dxa"/>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长庆项目部</w:t>
            </w:r>
          </w:p>
        </w:tc>
        <w:tc>
          <w:tcPr>
            <w:tcW w:w="1841" w:type="dxa"/>
            <w:tcBorders>
              <w:lef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777-95198</w:t>
            </w:r>
          </w:p>
        </w:tc>
        <w:tc>
          <w:tcPr>
            <w:tcW w:w="1077" w:type="dxa"/>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4</w:t>
            </w:r>
          </w:p>
        </w:tc>
        <w:tc>
          <w:tcPr>
            <w:tcW w:w="1077" w:type="dxa"/>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8</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MWD无线随钻测斜仪器</w:t>
            </w:r>
          </w:p>
        </w:tc>
        <w:tc>
          <w:tcPr>
            <w:tcW w:w="1017" w:type="dxa"/>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青海项目部</w:t>
            </w:r>
          </w:p>
        </w:tc>
        <w:tc>
          <w:tcPr>
            <w:tcW w:w="1841" w:type="dxa"/>
            <w:tcBorders>
              <w:lef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GMWD-125000AC-0003</w:t>
            </w:r>
          </w:p>
        </w:tc>
        <w:tc>
          <w:tcPr>
            <w:tcW w:w="1077" w:type="dxa"/>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1077" w:type="dxa"/>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9</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MWD无线随钻测斜仪器</w:t>
            </w:r>
          </w:p>
        </w:tc>
        <w:tc>
          <w:tcPr>
            <w:tcW w:w="1017" w:type="dxa"/>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吐哈项目部</w:t>
            </w:r>
          </w:p>
        </w:tc>
        <w:tc>
          <w:tcPr>
            <w:tcW w:w="1841" w:type="dxa"/>
            <w:tcBorders>
              <w:lef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GMWD-125000AC-0003</w:t>
            </w:r>
          </w:p>
        </w:tc>
        <w:tc>
          <w:tcPr>
            <w:tcW w:w="1077" w:type="dxa"/>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1077" w:type="dxa"/>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10</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MWD无线随钻测斜仪器</w:t>
            </w:r>
          </w:p>
        </w:tc>
        <w:tc>
          <w:tcPr>
            <w:tcW w:w="1017" w:type="dxa"/>
            <w:vMerge w:val="restart"/>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西北局项目部</w:t>
            </w:r>
          </w:p>
        </w:tc>
        <w:tc>
          <w:tcPr>
            <w:tcW w:w="1841" w:type="dxa"/>
            <w:tcBorders>
              <w:left w:val="single" w:color="auto" w:sz="4" w:space="0"/>
              <w:bottom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GMWD-125000AC-0003</w:t>
            </w:r>
          </w:p>
        </w:tc>
        <w:tc>
          <w:tcPr>
            <w:tcW w:w="1077" w:type="dxa"/>
            <w:tcBorders>
              <w:bottom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42</w:t>
            </w:r>
          </w:p>
        </w:tc>
        <w:tc>
          <w:tcPr>
            <w:tcW w:w="1077" w:type="dxa"/>
            <w:tcBorders>
              <w:bottom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845"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11</w:t>
            </w:r>
          </w:p>
        </w:tc>
        <w:tc>
          <w:tcPr>
            <w:tcW w:w="2719" w:type="dxa"/>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无磁钻铤</w:t>
            </w:r>
          </w:p>
        </w:tc>
        <w:tc>
          <w:tcPr>
            <w:tcW w:w="1017" w:type="dxa"/>
            <w:vMerge w:val="continue"/>
            <w:tcBorders>
              <w:righ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p>
        </w:tc>
        <w:tc>
          <w:tcPr>
            <w:tcW w:w="1841" w:type="dxa"/>
            <w:tcBorders>
              <w:top w:val="single" w:color="auto" w:sz="4" w:space="0"/>
              <w:left w:val="single" w:color="auto" w:sz="4" w:space="0"/>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NMDC172X4000</w:t>
            </w:r>
          </w:p>
        </w:tc>
        <w:tc>
          <w:tcPr>
            <w:tcW w:w="1077" w:type="dxa"/>
            <w:tcBorders>
              <w:top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1077" w:type="dxa"/>
            <w:tcBorders>
              <w:top w:val="single" w:color="auto" w:sz="4" w:space="0"/>
            </w:tcBorders>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lang w:val="en-US" w:eastAsia="zh-CN"/>
              </w:rPr>
              <w:t>否</w:t>
            </w:r>
          </w:p>
        </w:tc>
      </w:tr>
      <w:bookmarkEnd w:id="24"/>
    </w:tbl>
    <w:p>
      <w:pPr>
        <w:pStyle w:val="216"/>
        <w:adjustRightInd w:val="0"/>
        <w:snapToGrid w:val="0"/>
        <w:spacing w:after="0" w:line="360" w:lineRule="auto"/>
        <w:ind w:firstLine="420" w:firstLineChars="200"/>
        <w:rPr>
          <w:rFonts w:hint="eastAsia"/>
          <w:b/>
          <w:bCs w:val="0"/>
          <w:sz w:val="28"/>
          <w:szCs w:val="28"/>
          <w:lang w:eastAsia="zh-CN"/>
        </w:rPr>
      </w:pPr>
      <w:r>
        <w:rPr>
          <w:rFonts w:hint="eastAsia"/>
          <w:b/>
          <w:bCs w:val="0"/>
          <w:szCs w:val="21"/>
          <w:lang w:val="en-US" w:eastAsia="zh-CN"/>
        </w:rPr>
        <w:t>注：以上</w:t>
      </w:r>
      <w:r>
        <w:rPr>
          <w:rFonts w:hint="eastAsia"/>
          <w:b/>
          <w:bCs w:val="0"/>
          <w:lang w:val="en-US" w:eastAsia="zh-CN"/>
        </w:rPr>
        <w:t>设备使用情况为</w:t>
      </w:r>
      <w:r>
        <w:rPr>
          <w:rFonts w:hint="eastAsia"/>
          <w:b/>
          <w:bCs w:val="0"/>
          <w:szCs w:val="21"/>
          <w:lang w:val="en-US" w:eastAsia="zh-CN"/>
        </w:rPr>
        <w:t>斯伦贝谢油田技术（山东）有限公司本次安全现状</w:t>
      </w:r>
      <w:r>
        <w:rPr>
          <w:rFonts w:hint="eastAsia"/>
          <w:b/>
          <w:bCs w:val="0"/>
          <w:lang w:val="en-US" w:eastAsia="zh-CN"/>
        </w:rPr>
        <w:t>评价期间的状态，设备使用情况随时根据各项目部实际运行情况由公司</w:t>
      </w:r>
      <w:r>
        <w:rPr>
          <w:rFonts w:hint="eastAsia"/>
          <w:b/>
          <w:bCs w:val="0"/>
          <w:color w:val="auto"/>
          <w:lang w:val="en-US" w:eastAsia="zh-CN"/>
        </w:rPr>
        <w:t>统一</w:t>
      </w:r>
      <w:r>
        <w:rPr>
          <w:rFonts w:hint="eastAsia"/>
          <w:b/>
          <w:bCs w:val="0"/>
          <w:lang w:val="en-US" w:eastAsia="zh-CN"/>
        </w:rPr>
        <w:t>负责调配。</w:t>
      </w:r>
    </w:p>
    <w:p>
      <w:pPr>
        <w:pStyle w:val="6"/>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eastAsia="黑体"/>
          <w:b w:val="0"/>
          <w:snapToGrid w:val="0"/>
          <w:kern w:val="0"/>
          <w:sz w:val="28"/>
          <w:szCs w:val="28"/>
          <w:lang w:val="en-US" w:eastAsia="zh-CN"/>
        </w:rPr>
      </w:pPr>
      <w:r>
        <w:rPr>
          <w:rFonts w:hint="eastAsia" w:eastAsia="黑体"/>
          <w:b w:val="0"/>
          <w:snapToGrid w:val="0"/>
          <w:kern w:val="0"/>
          <w:sz w:val="28"/>
          <w:szCs w:val="28"/>
        </w:rPr>
        <w:t>2.3.4 作业</w:t>
      </w:r>
      <w:r>
        <w:rPr>
          <w:rFonts w:hint="eastAsia" w:eastAsia="黑体"/>
          <w:b w:val="0"/>
          <w:snapToGrid w:val="0"/>
          <w:kern w:val="0"/>
          <w:sz w:val="28"/>
          <w:szCs w:val="28"/>
          <w:lang w:val="en-US" w:eastAsia="zh-CN"/>
        </w:rPr>
        <w:t>区域及自然条件</w:t>
      </w:r>
    </w:p>
    <w:p>
      <w:pPr>
        <w:pStyle w:val="216"/>
        <w:adjustRightInd w:val="0"/>
        <w:snapToGrid w:val="0"/>
        <w:spacing w:after="0" w:line="360" w:lineRule="auto"/>
        <w:ind w:firstLine="560" w:firstLineChars="200"/>
        <w:rPr>
          <w:sz w:val="28"/>
        </w:rPr>
      </w:pPr>
      <w:r>
        <w:rPr>
          <w:rFonts w:hint="eastAsia"/>
          <w:sz w:val="28"/>
          <w:szCs w:val="28"/>
          <w:lang w:eastAsia="zh-CN"/>
        </w:rPr>
        <w:t>斯伦贝谢油田技术（山东）有限公司</w:t>
      </w:r>
      <w:r>
        <w:rPr>
          <w:rFonts w:hint="eastAsia"/>
          <w:sz w:val="28"/>
          <w:szCs w:val="28"/>
        </w:rPr>
        <w:t>位于东营市</w:t>
      </w:r>
      <w:r>
        <w:rPr>
          <w:rFonts w:hint="eastAsia"/>
          <w:sz w:val="28"/>
          <w:szCs w:val="28"/>
          <w:lang w:val="en-US" w:eastAsia="zh-CN"/>
        </w:rPr>
        <w:t>东营区登州路62号</w:t>
      </w:r>
      <w:r>
        <w:rPr>
          <w:rFonts w:hint="eastAsia"/>
          <w:sz w:val="28"/>
          <w:szCs w:val="28"/>
        </w:rPr>
        <w:t>，公司</w:t>
      </w:r>
      <w:r>
        <w:rPr>
          <w:rFonts w:hint="eastAsia"/>
          <w:sz w:val="28"/>
          <w:szCs w:val="28"/>
          <w:lang w:val="en-US" w:eastAsia="zh-CN"/>
        </w:rPr>
        <w:t>钻井（定向施工）作业分为7个项目部</w:t>
      </w:r>
      <w:r>
        <w:rPr>
          <w:rFonts w:hint="eastAsia"/>
          <w:sz w:val="28"/>
          <w:szCs w:val="28"/>
        </w:rPr>
        <w:t>，作业地点主要涉及</w:t>
      </w:r>
      <w:r>
        <w:rPr>
          <w:rFonts w:hint="eastAsia"/>
          <w:sz w:val="28"/>
          <w:szCs w:val="28"/>
          <w:lang w:val="en-US" w:eastAsia="zh-CN"/>
        </w:rPr>
        <w:t>新疆、</w:t>
      </w:r>
      <w:r>
        <w:rPr>
          <w:rFonts w:hint="eastAsia" w:ascii="Times New Roman" w:hAnsi="Times New Roman" w:eastAsia="宋体" w:cs="Times New Roman"/>
          <w:sz w:val="28"/>
          <w:szCs w:val="28"/>
          <w:lang w:val="en-US" w:eastAsia="zh-CN"/>
        </w:rPr>
        <w:t>吉林、大庆、辽河、冀东</w:t>
      </w:r>
      <w:r>
        <w:rPr>
          <w:rFonts w:hint="eastAsia" w:cs="Times New Roman"/>
          <w:sz w:val="28"/>
          <w:szCs w:val="28"/>
          <w:lang w:val="en-US" w:eastAsia="zh-CN"/>
        </w:rPr>
        <w:t>、重庆</w:t>
      </w:r>
      <w:r>
        <w:rPr>
          <w:rFonts w:hint="eastAsia"/>
          <w:sz w:val="28"/>
          <w:szCs w:val="28"/>
        </w:rPr>
        <w:t>等</w:t>
      </w:r>
      <w:r>
        <w:rPr>
          <w:rFonts w:hint="eastAsia"/>
          <w:sz w:val="28"/>
          <w:szCs w:val="28"/>
          <w:lang w:eastAsia="zh-CN"/>
        </w:rPr>
        <w:t>，</w:t>
      </w:r>
      <w:r>
        <w:rPr>
          <w:rFonts w:hint="eastAsia"/>
          <w:sz w:val="28"/>
          <w:szCs w:val="28"/>
          <w:lang w:val="en-US" w:eastAsia="zh-CN"/>
        </w:rPr>
        <w:t>详见表2.2-1</w:t>
      </w:r>
      <w:r>
        <w:rPr>
          <w:rFonts w:hint="eastAsia"/>
          <w:sz w:val="28"/>
          <w:szCs w:val="28"/>
        </w:rPr>
        <w:t>。</w:t>
      </w:r>
    </w:p>
    <w:p>
      <w:pPr>
        <w:pStyle w:val="216"/>
        <w:adjustRightInd w:val="0"/>
        <w:snapToGrid w:val="0"/>
        <w:spacing w:after="0" w:line="360" w:lineRule="auto"/>
        <w:ind w:firstLine="560" w:firstLineChars="200"/>
        <w:rPr>
          <w:rFonts w:hint="eastAsia"/>
          <w:sz w:val="28"/>
          <w:szCs w:val="28"/>
        </w:rPr>
      </w:pPr>
      <w:r>
        <w:rPr>
          <w:rFonts w:hint="eastAsia" w:ascii="Times New Roman" w:hAnsi="Times New Roman" w:eastAsia="宋体" w:cs="Times New Roman"/>
          <w:sz w:val="28"/>
          <w:szCs w:val="28"/>
          <w:lang w:val="en-US" w:eastAsia="zh-CN"/>
        </w:rPr>
        <w:t>评价过程中，</w:t>
      </w:r>
      <w:r>
        <w:rPr>
          <w:rFonts w:hint="eastAsia" w:cs="Times New Roman"/>
          <w:sz w:val="28"/>
          <w:szCs w:val="28"/>
          <w:lang w:val="en-US" w:eastAsia="zh-CN"/>
        </w:rPr>
        <w:t>抽查</w:t>
      </w:r>
      <w:r>
        <w:rPr>
          <w:rFonts w:hint="eastAsia" w:ascii="Times New Roman" w:hAnsi="Times New Roman" w:eastAsia="宋体" w:cs="Times New Roman"/>
          <w:sz w:val="28"/>
          <w:szCs w:val="28"/>
          <w:lang w:val="en-US" w:eastAsia="zh-CN"/>
        </w:rPr>
        <w:t>该公司项目部在</w:t>
      </w:r>
      <w:r>
        <w:rPr>
          <w:rFonts w:hint="eastAsia" w:cs="Times New Roman"/>
          <w:sz w:val="28"/>
          <w:szCs w:val="28"/>
          <w:lang w:val="en-US" w:eastAsia="zh-CN"/>
        </w:rPr>
        <w:t>2022年2月份、3月份完工项目兴隆1-1井（重庆梁平区）、GY20-Q8-H1井（黑龙江大庆市）、GY2-Q5-H1井（黑龙江大庆市）、GY3-Q2-11井（黑龙江大庆市）、GY3-Q9-H2井（黑龙江大庆市）、SHB4-13H井（新疆沙雅县）的施工资料，</w:t>
      </w:r>
      <w:r>
        <w:rPr>
          <w:rFonts w:hint="eastAsia"/>
          <w:sz w:val="28"/>
          <w:szCs w:val="28"/>
        </w:rPr>
        <w:t>分别</w:t>
      </w:r>
      <w:r>
        <w:rPr>
          <w:rFonts w:hint="eastAsia"/>
          <w:sz w:val="28"/>
          <w:szCs w:val="28"/>
          <w:lang w:val="en-US" w:eastAsia="zh-CN"/>
        </w:rPr>
        <w:t>位于重庆梁平区、黑龙江大庆市与新疆沙雅县，下面主要对该三地自然条件进行介绍</w:t>
      </w:r>
      <w:r>
        <w:rPr>
          <w:rFonts w:hint="eastAsia"/>
          <w:sz w:val="28"/>
          <w:szCs w:val="28"/>
        </w:rPr>
        <w:t>。</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default"/>
          <w:b/>
          <w:bCs/>
          <w:sz w:val="28"/>
          <w:szCs w:val="28"/>
          <w:lang w:val="en-US" w:eastAsia="zh-CN"/>
        </w:rPr>
      </w:pPr>
      <w:r>
        <w:rPr>
          <w:rFonts w:hint="eastAsia"/>
          <w:b/>
          <w:bCs/>
          <w:sz w:val="28"/>
          <w:szCs w:val="28"/>
          <w:lang w:val="en-US" w:eastAsia="zh-CN"/>
        </w:rPr>
        <w:t>1.重庆梁平区自然条件</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sz w:val="28"/>
          <w:szCs w:val="28"/>
          <w:lang w:val="en-US" w:eastAsia="zh-CN"/>
        </w:rPr>
      </w:pPr>
      <w:r>
        <w:rPr>
          <w:rFonts w:hint="eastAsia"/>
          <w:sz w:val="28"/>
          <w:szCs w:val="28"/>
          <w:lang w:val="en-US" w:eastAsia="zh-CN"/>
        </w:rPr>
        <w:t>1）气候特征</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eastAsia="宋体" w:cs="Times New Roman"/>
          <w:sz w:val="28"/>
          <w:szCs w:val="28"/>
          <w:lang w:val="en-US" w:eastAsia="zh-CN"/>
        </w:rPr>
      </w:pPr>
      <w:r>
        <w:rPr>
          <w:rFonts w:hint="eastAsia" w:eastAsia="宋体" w:cs="Times New Roman"/>
          <w:sz w:val="28"/>
          <w:szCs w:val="28"/>
          <w:lang w:val="en-US" w:eastAsia="zh-CN"/>
        </w:rPr>
        <w:t>梁平属</w:t>
      </w:r>
      <w:r>
        <w:rPr>
          <w:rFonts w:hint="default" w:eastAsia="宋体" w:cs="Times New Roman"/>
          <w:sz w:val="28"/>
          <w:szCs w:val="28"/>
          <w:lang w:val="en-US" w:eastAsia="zh-CN"/>
        </w:rPr>
        <w:fldChar w:fldCharType="begin"/>
      </w:r>
      <w:r>
        <w:rPr>
          <w:rFonts w:hint="default" w:eastAsia="宋体" w:cs="Times New Roman"/>
          <w:sz w:val="28"/>
          <w:szCs w:val="28"/>
          <w:lang w:val="en-US" w:eastAsia="zh-CN"/>
        </w:rPr>
        <w:instrText xml:space="preserve"> HYPERLINK "https://baike.baidu.com/item/%E4%BA%9A%E7%83%AD%E5%B8%A6%E5%AD%A3%E9%A3%8E%E6%80%A7%E6%B9%BF%E6%B6%A6%E6%B0%94%E5%80%99" \t "https://baike.baidu.com/item/%E6%A2%81%E5%B9%B3%E5%8C%BA/_blank" </w:instrText>
      </w:r>
      <w:r>
        <w:rPr>
          <w:rFonts w:hint="default" w:eastAsia="宋体" w:cs="Times New Roman"/>
          <w:sz w:val="28"/>
          <w:szCs w:val="28"/>
          <w:lang w:val="en-US" w:eastAsia="zh-CN"/>
        </w:rPr>
        <w:fldChar w:fldCharType="separate"/>
      </w:r>
      <w:r>
        <w:rPr>
          <w:rFonts w:hint="default" w:eastAsia="宋体" w:cs="Times New Roman"/>
          <w:sz w:val="28"/>
          <w:szCs w:val="28"/>
          <w:lang w:val="en-US" w:eastAsia="zh-CN"/>
        </w:rPr>
        <w:t>亚热带季风性湿润气候</w:t>
      </w:r>
      <w:r>
        <w:rPr>
          <w:rFonts w:hint="default" w:eastAsia="宋体" w:cs="Times New Roman"/>
          <w:sz w:val="28"/>
          <w:szCs w:val="28"/>
          <w:lang w:val="en-US" w:eastAsia="zh-CN"/>
        </w:rPr>
        <w:fldChar w:fldCharType="end"/>
      </w:r>
      <w:r>
        <w:rPr>
          <w:rFonts w:hint="default" w:eastAsia="宋体" w:cs="Times New Roman"/>
          <w:sz w:val="28"/>
          <w:szCs w:val="28"/>
          <w:lang w:val="en-US" w:eastAsia="zh-CN"/>
        </w:rPr>
        <w:t>，具有冬暖春早、秋短夏长、初夏多雨、无霜期长、湿度大、风力小、云雾多、日照少的气候特点，年均气温16.6℃，年均降雨量1262毫米，年均相对湿度81%，平均日照1336小时，平均无霜期279天，年均风速1.3米/秒。</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default"/>
          <w:sz w:val="28"/>
          <w:szCs w:val="28"/>
          <w:lang w:val="en-US" w:eastAsia="zh-CN"/>
        </w:rPr>
      </w:pPr>
      <w:r>
        <w:rPr>
          <w:rFonts w:hint="eastAsia"/>
          <w:sz w:val="28"/>
          <w:szCs w:val="28"/>
          <w:lang w:val="en-US" w:eastAsia="zh-CN"/>
        </w:rPr>
        <w:t>2）水文特征</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sz w:val="28"/>
          <w:szCs w:val="28"/>
          <w:lang w:eastAsia="zh-CN"/>
        </w:rPr>
      </w:pPr>
      <w:r>
        <w:rPr>
          <w:rFonts w:hint="default" w:eastAsia="宋体" w:cs="Times New Roman"/>
          <w:sz w:val="28"/>
          <w:szCs w:val="28"/>
          <w:lang w:val="en-US" w:eastAsia="zh-CN"/>
        </w:rPr>
        <w:t>梁平处于</w:t>
      </w:r>
      <w:r>
        <w:rPr>
          <w:rFonts w:hint="default" w:eastAsia="宋体" w:cs="Times New Roman"/>
          <w:sz w:val="28"/>
          <w:szCs w:val="28"/>
          <w:lang w:val="en-US" w:eastAsia="zh-CN"/>
        </w:rPr>
        <w:fldChar w:fldCharType="begin"/>
      </w:r>
      <w:r>
        <w:rPr>
          <w:rFonts w:hint="default" w:eastAsia="宋体" w:cs="Times New Roman"/>
          <w:sz w:val="28"/>
          <w:szCs w:val="28"/>
          <w:lang w:val="en-US" w:eastAsia="zh-CN"/>
        </w:rPr>
        <w:instrText xml:space="preserve"> HYPERLINK "https://baike.baidu.com/item/%E9%95%BF%E6%B1%9F/388" \t "https://baike.baidu.com/item/%E6%A2%81%E5%B9%B3%E5%8C%BA/_blank" </w:instrText>
      </w:r>
      <w:r>
        <w:rPr>
          <w:rFonts w:hint="default" w:eastAsia="宋体" w:cs="Times New Roman"/>
          <w:sz w:val="28"/>
          <w:szCs w:val="28"/>
          <w:lang w:val="en-US" w:eastAsia="zh-CN"/>
        </w:rPr>
        <w:fldChar w:fldCharType="separate"/>
      </w:r>
      <w:r>
        <w:rPr>
          <w:rFonts w:hint="default" w:eastAsia="宋体" w:cs="Times New Roman"/>
          <w:sz w:val="28"/>
          <w:szCs w:val="28"/>
          <w:lang w:val="en-US" w:eastAsia="zh-CN"/>
        </w:rPr>
        <w:t>长江</w:t>
      </w:r>
      <w:r>
        <w:rPr>
          <w:rFonts w:hint="default" w:eastAsia="宋体" w:cs="Times New Roman"/>
          <w:sz w:val="28"/>
          <w:szCs w:val="28"/>
          <w:lang w:val="en-US" w:eastAsia="zh-CN"/>
        </w:rPr>
        <w:fldChar w:fldCharType="end"/>
      </w:r>
      <w:r>
        <w:rPr>
          <w:rFonts w:hint="default" w:eastAsia="宋体" w:cs="Times New Roman"/>
          <w:sz w:val="28"/>
          <w:szCs w:val="28"/>
          <w:lang w:val="en-US" w:eastAsia="zh-CN"/>
        </w:rPr>
        <w:t>干流与</w:t>
      </w:r>
      <w:r>
        <w:rPr>
          <w:rFonts w:hint="default" w:eastAsia="宋体" w:cs="Times New Roman"/>
          <w:sz w:val="28"/>
          <w:szCs w:val="28"/>
          <w:lang w:val="en-US" w:eastAsia="zh-CN"/>
        </w:rPr>
        <w:fldChar w:fldCharType="begin"/>
      </w:r>
      <w:r>
        <w:rPr>
          <w:rFonts w:hint="default" w:eastAsia="宋体" w:cs="Times New Roman"/>
          <w:sz w:val="28"/>
          <w:szCs w:val="28"/>
          <w:lang w:val="en-US" w:eastAsia="zh-CN"/>
        </w:rPr>
        <w:instrText xml:space="preserve"> HYPERLINK "https://baike.baidu.com/item/%E5%98%89%E9%99%B5%E6%B1%9F" \t "https://baike.baidu.com/item/%E6%A2%81%E5%B9%B3%E5%8C%BA/_blank" </w:instrText>
      </w:r>
      <w:r>
        <w:rPr>
          <w:rFonts w:hint="default" w:eastAsia="宋体" w:cs="Times New Roman"/>
          <w:sz w:val="28"/>
          <w:szCs w:val="28"/>
          <w:lang w:val="en-US" w:eastAsia="zh-CN"/>
        </w:rPr>
        <w:fldChar w:fldCharType="separate"/>
      </w:r>
      <w:r>
        <w:rPr>
          <w:rFonts w:hint="default" w:eastAsia="宋体" w:cs="Times New Roman"/>
          <w:sz w:val="28"/>
          <w:szCs w:val="28"/>
          <w:lang w:val="en-US" w:eastAsia="zh-CN"/>
        </w:rPr>
        <w:t>嘉陵江</w:t>
      </w:r>
      <w:r>
        <w:rPr>
          <w:rFonts w:hint="default" w:eastAsia="宋体" w:cs="Times New Roman"/>
          <w:sz w:val="28"/>
          <w:szCs w:val="28"/>
          <w:lang w:val="en-US" w:eastAsia="zh-CN"/>
        </w:rPr>
        <w:fldChar w:fldCharType="end"/>
      </w:r>
      <w:r>
        <w:rPr>
          <w:rFonts w:hint="default" w:eastAsia="宋体" w:cs="Times New Roman"/>
          <w:sz w:val="28"/>
          <w:szCs w:val="28"/>
          <w:lang w:val="en-US" w:eastAsia="zh-CN"/>
        </w:rPr>
        <w:t>支流</w:t>
      </w:r>
      <w:r>
        <w:rPr>
          <w:rFonts w:hint="default" w:eastAsia="宋体" w:cs="Times New Roman"/>
          <w:sz w:val="28"/>
          <w:szCs w:val="28"/>
          <w:lang w:val="en-US" w:eastAsia="zh-CN"/>
        </w:rPr>
        <w:fldChar w:fldCharType="begin"/>
      </w:r>
      <w:r>
        <w:rPr>
          <w:rFonts w:hint="default" w:eastAsia="宋体" w:cs="Times New Roman"/>
          <w:sz w:val="28"/>
          <w:szCs w:val="28"/>
          <w:lang w:val="en-US" w:eastAsia="zh-CN"/>
        </w:rPr>
        <w:instrText xml:space="preserve"> HYPERLINK "https://baike.baidu.com/item/%E6%B8%A0%E6%B2%B3" \t "https://baike.baidu.com/item/%E6%A2%81%E5%B9%B3%E5%8C%BA/_blank" </w:instrText>
      </w:r>
      <w:r>
        <w:rPr>
          <w:rFonts w:hint="default" w:eastAsia="宋体" w:cs="Times New Roman"/>
          <w:sz w:val="28"/>
          <w:szCs w:val="28"/>
          <w:lang w:val="en-US" w:eastAsia="zh-CN"/>
        </w:rPr>
        <w:fldChar w:fldCharType="separate"/>
      </w:r>
      <w:r>
        <w:rPr>
          <w:rFonts w:hint="default" w:eastAsia="宋体" w:cs="Times New Roman"/>
          <w:sz w:val="28"/>
          <w:szCs w:val="28"/>
          <w:lang w:val="en-US" w:eastAsia="zh-CN"/>
        </w:rPr>
        <w:t>渠河</w:t>
      </w:r>
      <w:r>
        <w:rPr>
          <w:rFonts w:hint="default" w:eastAsia="宋体" w:cs="Times New Roman"/>
          <w:sz w:val="28"/>
          <w:szCs w:val="28"/>
          <w:lang w:val="en-US" w:eastAsia="zh-CN"/>
        </w:rPr>
        <w:fldChar w:fldCharType="end"/>
      </w:r>
      <w:r>
        <w:rPr>
          <w:rFonts w:hint="default" w:eastAsia="宋体" w:cs="Times New Roman"/>
          <w:sz w:val="28"/>
          <w:szCs w:val="28"/>
          <w:lang w:val="en-US" w:eastAsia="zh-CN"/>
        </w:rPr>
        <w:t>的分水岭上，地势高于四周，为邻县溪河发源地，过境内客水量极少。主要河流有</w:t>
      </w:r>
      <w:r>
        <w:rPr>
          <w:rFonts w:hint="default" w:eastAsia="宋体" w:cs="Times New Roman"/>
          <w:sz w:val="28"/>
          <w:szCs w:val="28"/>
          <w:lang w:val="en-US" w:eastAsia="zh-CN"/>
        </w:rPr>
        <w:fldChar w:fldCharType="begin"/>
      </w:r>
      <w:r>
        <w:rPr>
          <w:rFonts w:hint="default" w:eastAsia="宋体" w:cs="Times New Roman"/>
          <w:sz w:val="28"/>
          <w:szCs w:val="28"/>
          <w:lang w:val="en-US" w:eastAsia="zh-CN"/>
        </w:rPr>
        <w:instrText xml:space="preserve"> HYPERLINK "https://baike.baidu.com/item/%E9%AB%98%E6%BB%A9%E6%B2%B3" \t "https://baike.baidu.com/item/%E6%A2%81%E5%B9%B3%E5%8C%BA/_blank" </w:instrText>
      </w:r>
      <w:r>
        <w:rPr>
          <w:rFonts w:hint="default" w:eastAsia="宋体" w:cs="Times New Roman"/>
          <w:sz w:val="28"/>
          <w:szCs w:val="28"/>
          <w:lang w:val="en-US" w:eastAsia="zh-CN"/>
        </w:rPr>
        <w:fldChar w:fldCharType="separate"/>
      </w:r>
      <w:r>
        <w:rPr>
          <w:rFonts w:hint="default" w:eastAsia="宋体" w:cs="Times New Roman"/>
          <w:sz w:val="28"/>
          <w:szCs w:val="28"/>
          <w:lang w:val="en-US" w:eastAsia="zh-CN"/>
        </w:rPr>
        <w:t>高滩河</w:t>
      </w:r>
      <w:r>
        <w:rPr>
          <w:rFonts w:hint="default" w:eastAsia="宋体" w:cs="Times New Roman"/>
          <w:sz w:val="28"/>
          <w:szCs w:val="28"/>
          <w:lang w:val="en-US" w:eastAsia="zh-CN"/>
        </w:rPr>
        <w:fldChar w:fldCharType="end"/>
      </w:r>
      <w:r>
        <w:rPr>
          <w:rFonts w:hint="default" w:eastAsia="宋体" w:cs="Times New Roman"/>
          <w:sz w:val="28"/>
          <w:szCs w:val="28"/>
          <w:lang w:val="en-US" w:eastAsia="zh-CN"/>
        </w:rPr>
        <w:t>、波漩河、新盛河、</w:t>
      </w:r>
      <w:r>
        <w:rPr>
          <w:rFonts w:hint="default" w:eastAsia="宋体" w:cs="Times New Roman"/>
          <w:sz w:val="28"/>
          <w:szCs w:val="28"/>
          <w:lang w:val="en-US" w:eastAsia="zh-CN"/>
        </w:rPr>
        <w:fldChar w:fldCharType="begin"/>
      </w:r>
      <w:r>
        <w:rPr>
          <w:rFonts w:hint="default" w:eastAsia="宋体" w:cs="Times New Roman"/>
          <w:sz w:val="28"/>
          <w:szCs w:val="28"/>
          <w:lang w:val="en-US" w:eastAsia="zh-CN"/>
        </w:rPr>
        <w:instrText xml:space="preserve"> HYPERLINK "https://baike.baidu.com/item/%E6%99%AE%E9%87%8C%E6%B2%B3" \t "https://baike.baidu.com/item/%E6%A2%81%E5%B9%B3%E5%8C%BA/_blank" </w:instrText>
      </w:r>
      <w:r>
        <w:rPr>
          <w:rFonts w:hint="default" w:eastAsia="宋体" w:cs="Times New Roman"/>
          <w:sz w:val="28"/>
          <w:szCs w:val="28"/>
          <w:lang w:val="en-US" w:eastAsia="zh-CN"/>
        </w:rPr>
        <w:fldChar w:fldCharType="separate"/>
      </w:r>
      <w:r>
        <w:rPr>
          <w:rFonts w:hint="default" w:eastAsia="宋体" w:cs="Times New Roman"/>
          <w:sz w:val="28"/>
          <w:szCs w:val="28"/>
          <w:lang w:val="en-US" w:eastAsia="zh-CN"/>
        </w:rPr>
        <w:t>普里河</w:t>
      </w:r>
      <w:r>
        <w:rPr>
          <w:rFonts w:hint="default" w:eastAsia="宋体" w:cs="Times New Roman"/>
          <w:sz w:val="28"/>
          <w:szCs w:val="28"/>
          <w:lang w:val="en-US" w:eastAsia="zh-CN"/>
        </w:rPr>
        <w:fldChar w:fldCharType="end"/>
      </w:r>
      <w:r>
        <w:rPr>
          <w:rFonts w:hint="default" w:eastAsia="宋体" w:cs="Times New Roman"/>
          <w:sz w:val="28"/>
          <w:szCs w:val="28"/>
          <w:lang w:val="en-US" w:eastAsia="zh-CN"/>
        </w:rPr>
        <w:t>、汝溪河、黄金河共6条，支流384条，全长809千米</w:t>
      </w:r>
      <w:r>
        <w:rPr>
          <w:rFonts w:hint="eastAsia"/>
          <w:sz w:val="28"/>
          <w:szCs w:val="28"/>
          <w:lang w:eastAsia="zh-CN"/>
        </w:rPr>
        <w:t>。</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default"/>
          <w:sz w:val="28"/>
          <w:szCs w:val="28"/>
          <w:lang w:val="en-US" w:eastAsia="zh-CN"/>
        </w:rPr>
      </w:pPr>
      <w:r>
        <w:rPr>
          <w:rFonts w:hint="eastAsia"/>
          <w:sz w:val="28"/>
          <w:szCs w:val="28"/>
          <w:lang w:val="en-US" w:eastAsia="zh-CN"/>
        </w:rPr>
        <w:t>3）地形地貌</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eastAsia" w:eastAsia="宋体" w:cs="Times New Roman"/>
          <w:sz w:val="28"/>
          <w:szCs w:val="28"/>
          <w:lang w:val="en-US" w:eastAsia="zh-CN"/>
        </w:rPr>
      </w:pPr>
      <w:r>
        <w:rPr>
          <w:rFonts w:hint="default" w:eastAsia="宋体" w:cs="Times New Roman"/>
          <w:sz w:val="28"/>
          <w:szCs w:val="28"/>
          <w:lang w:val="en-US" w:eastAsia="zh-CN"/>
        </w:rPr>
        <w:t>梁平地貌由于地质构造、地层分布和岩性的控制，以及受水文作用的影响，呈现</w:t>
      </w:r>
      <w:r>
        <w:rPr>
          <w:rFonts w:hint="eastAsia" w:cs="Times New Roman"/>
          <w:sz w:val="28"/>
          <w:szCs w:val="28"/>
          <w:lang w:val="en-US" w:eastAsia="zh-CN"/>
        </w:rPr>
        <w:t>“</w:t>
      </w:r>
      <w:r>
        <w:rPr>
          <w:rFonts w:hint="default" w:eastAsia="宋体" w:cs="Times New Roman"/>
          <w:sz w:val="28"/>
          <w:szCs w:val="28"/>
          <w:lang w:val="en-US" w:eastAsia="zh-CN"/>
        </w:rPr>
        <w:t>三山五岭，两槽一坝，丘陵起伏，六水外流</w:t>
      </w:r>
      <w:r>
        <w:rPr>
          <w:rFonts w:hint="eastAsia" w:cs="Times New Roman"/>
          <w:sz w:val="28"/>
          <w:szCs w:val="28"/>
          <w:lang w:val="en-US" w:eastAsia="zh-CN"/>
        </w:rPr>
        <w:t>”</w:t>
      </w:r>
      <w:r>
        <w:rPr>
          <w:rFonts w:hint="default" w:eastAsia="宋体" w:cs="Times New Roman"/>
          <w:sz w:val="28"/>
          <w:szCs w:val="28"/>
          <w:lang w:val="en-US" w:eastAsia="zh-CN"/>
        </w:rPr>
        <w:t>的自然景观，形成山、丘、坝兼有而以山区为主的特殊地貌。境内有东山、西山和中山，均呈北东走向，平行排列，互不衔接。山区海拔500</w:t>
      </w:r>
      <w:r>
        <w:rPr>
          <w:rFonts w:hint="default" w:ascii="Times New Roman" w:hAnsi="Times New Roman" w:eastAsia="宋体" w:cs="Times New Roman"/>
          <w:sz w:val="28"/>
          <w:szCs w:val="28"/>
          <w:lang w:val="en-US" w:eastAsia="zh-CN"/>
        </w:rPr>
        <w:t>~</w:t>
      </w:r>
      <w:r>
        <w:rPr>
          <w:rFonts w:hint="default" w:eastAsia="宋体" w:cs="Times New Roman"/>
          <w:sz w:val="28"/>
          <w:szCs w:val="28"/>
          <w:lang w:val="en-US" w:eastAsia="zh-CN"/>
        </w:rPr>
        <w:t>1221米，面积606.5平方千米，占全区总面积的32%。</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sz w:val="28"/>
          <w:szCs w:val="28"/>
          <w:lang w:val="en-US" w:eastAsia="zh-CN"/>
        </w:rPr>
      </w:pPr>
      <w:r>
        <w:rPr>
          <w:rFonts w:hint="eastAsia"/>
          <w:sz w:val="28"/>
          <w:szCs w:val="28"/>
          <w:lang w:val="en-US" w:eastAsia="zh-CN"/>
        </w:rPr>
        <w:t>4）地震烈度</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sz w:val="28"/>
          <w:szCs w:val="28"/>
          <w:lang w:val="en-US" w:eastAsia="zh-CN"/>
        </w:rPr>
      </w:pPr>
      <w:r>
        <w:rPr>
          <w:rFonts w:hint="eastAsia"/>
          <w:sz w:val="28"/>
          <w:szCs w:val="28"/>
          <w:lang w:val="en-US" w:eastAsia="zh-CN"/>
        </w:rPr>
        <w:t>该地区的抗震设防烈度为6度。</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b/>
          <w:bCs/>
          <w:sz w:val="28"/>
          <w:szCs w:val="28"/>
          <w:lang w:val="en-US" w:eastAsia="zh-CN"/>
        </w:rPr>
      </w:pPr>
      <w:r>
        <w:rPr>
          <w:rFonts w:hint="eastAsia"/>
          <w:b/>
          <w:bCs/>
          <w:sz w:val="28"/>
          <w:szCs w:val="28"/>
          <w:lang w:val="en-US" w:eastAsia="zh-CN"/>
        </w:rPr>
        <w:t>2.黑龙江大庆市自然条件</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sz w:val="28"/>
          <w:szCs w:val="28"/>
          <w:lang w:val="en-US" w:eastAsia="zh-CN"/>
        </w:rPr>
      </w:pPr>
      <w:r>
        <w:rPr>
          <w:rFonts w:hint="eastAsia"/>
          <w:sz w:val="28"/>
          <w:szCs w:val="28"/>
          <w:lang w:val="en-US" w:eastAsia="zh-CN"/>
        </w:rPr>
        <w:t>1）气候特征</w:t>
      </w:r>
    </w:p>
    <w:p>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气候属北温带亚欧大陆东缘大陆性季风气候，受蒙古内陆冷空气和海洋暖流季风影响，冬长（11月~2月）寒冷干燥，夏短（6月~8月）温热多雨，春（3月~5月）秋（9月~10月）季风交替，气温变化急剧，多风沙。</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夏季雨热同期，冬季寒冷漫长，历年平均气温</w:t>
      </w:r>
      <w:r>
        <w:rPr>
          <w:rFonts w:hint="eastAsia" w:eastAsia="宋体" w:cs="Times New Roman"/>
          <w:kern w:val="2"/>
          <w:sz w:val="28"/>
          <w:szCs w:val="28"/>
          <w:lang w:val="en-US" w:eastAsia="zh-CN" w:bidi="ar-SA"/>
        </w:rPr>
        <w:t>4.2</w:t>
      </w:r>
      <w:r>
        <w:rPr>
          <w:rFonts w:hint="eastAsia" w:ascii="Times New Roman" w:hAnsi="Times New Roman" w:eastAsia="宋体" w:cs="Times New Roman"/>
          <w:kern w:val="2"/>
          <w:sz w:val="28"/>
          <w:szCs w:val="28"/>
          <w:lang w:val="en-US" w:eastAsia="zh-CN" w:bidi="ar-SA"/>
        </w:rPr>
        <w:t>℃，历年最高气温3</w:t>
      </w:r>
      <w:r>
        <w:rPr>
          <w:rFonts w:hint="eastAsia" w:eastAsia="宋体" w:cs="Times New Roman"/>
          <w:kern w:val="2"/>
          <w:sz w:val="28"/>
          <w:szCs w:val="28"/>
          <w:lang w:val="en-US" w:eastAsia="zh-CN" w:bidi="ar-SA"/>
        </w:rPr>
        <w:t>9.8</w:t>
      </w:r>
      <w:r>
        <w:rPr>
          <w:rFonts w:hint="eastAsia" w:ascii="Times New Roman" w:hAnsi="Times New Roman" w:eastAsia="宋体" w:cs="Times New Roman"/>
          <w:kern w:val="2"/>
          <w:sz w:val="28"/>
          <w:szCs w:val="28"/>
          <w:lang w:val="en-US" w:eastAsia="zh-CN" w:bidi="ar-SA"/>
        </w:rPr>
        <w:t>℃，历年最低气温-3</w:t>
      </w:r>
      <w:r>
        <w:rPr>
          <w:rFonts w:hint="eastAsia" w:eastAsia="宋体" w:cs="Times New Roman"/>
          <w:kern w:val="2"/>
          <w:sz w:val="28"/>
          <w:szCs w:val="28"/>
          <w:lang w:val="en-US" w:eastAsia="zh-CN" w:bidi="ar-SA"/>
        </w:rPr>
        <w:t>9</w:t>
      </w:r>
      <w:r>
        <w:rPr>
          <w:rFonts w:hint="eastAsia" w:ascii="Times New Roman" w:hAnsi="Times New Roman" w:eastAsia="宋体" w:cs="Times New Roman"/>
          <w:kern w:val="2"/>
          <w:sz w:val="28"/>
          <w:szCs w:val="28"/>
          <w:lang w:val="en-US" w:eastAsia="zh-CN" w:bidi="ar-SA"/>
        </w:rPr>
        <w:t>.2℃，</w:t>
      </w:r>
      <w:r>
        <w:rPr>
          <w:rFonts w:hint="eastAsia" w:eastAsia="宋体" w:cs="Times New Roman"/>
          <w:kern w:val="2"/>
          <w:sz w:val="28"/>
          <w:szCs w:val="28"/>
          <w:lang w:val="en-US" w:eastAsia="zh-CN" w:bidi="ar-SA"/>
        </w:rPr>
        <w:t>最冷月</w:t>
      </w:r>
      <w:r>
        <w:rPr>
          <w:rFonts w:hint="eastAsia" w:ascii="Times New Roman" w:hAnsi="Times New Roman" w:eastAsia="宋体" w:cs="Times New Roman"/>
          <w:kern w:val="2"/>
          <w:sz w:val="28"/>
          <w:szCs w:val="28"/>
          <w:lang w:val="en-US" w:eastAsia="zh-CN" w:bidi="ar-SA"/>
        </w:rPr>
        <w:t>平均气温-1</w:t>
      </w:r>
      <w:r>
        <w:rPr>
          <w:rFonts w:hint="eastAsia" w:eastAsia="宋体" w:cs="Times New Roman"/>
          <w:kern w:val="2"/>
          <w:sz w:val="28"/>
          <w:szCs w:val="28"/>
          <w:lang w:val="en-US" w:eastAsia="zh-CN" w:bidi="ar-SA"/>
        </w:rPr>
        <w:t>8.5</w:t>
      </w:r>
      <w:r>
        <w:rPr>
          <w:rFonts w:hint="eastAsia" w:ascii="Times New Roman" w:hAnsi="Times New Roman" w:eastAsia="宋体" w:cs="Times New Roman"/>
          <w:kern w:val="2"/>
          <w:sz w:val="28"/>
          <w:szCs w:val="28"/>
          <w:lang w:val="en-US" w:eastAsia="zh-CN" w:bidi="ar-SA"/>
        </w:rPr>
        <w:t>℃，</w:t>
      </w:r>
      <w:r>
        <w:rPr>
          <w:rFonts w:hint="eastAsia" w:eastAsia="宋体" w:cs="Times New Roman"/>
          <w:kern w:val="2"/>
          <w:sz w:val="28"/>
          <w:szCs w:val="28"/>
          <w:lang w:val="en-US" w:eastAsia="zh-CN" w:bidi="ar-SA"/>
        </w:rPr>
        <w:t>最热月</w:t>
      </w:r>
      <w:r>
        <w:rPr>
          <w:rFonts w:hint="eastAsia" w:ascii="Times New Roman" w:hAnsi="Times New Roman" w:eastAsia="宋体" w:cs="Times New Roman"/>
          <w:kern w:val="2"/>
          <w:sz w:val="28"/>
          <w:szCs w:val="28"/>
          <w:lang w:val="en-US" w:eastAsia="zh-CN" w:bidi="ar-SA"/>
        </w:rPr>
        <w:t>平均气温2</w:t>
      </w:r>
      <w:r>
        <w:rPr>
          <w:rFonts w:hint="eastAsia" w:eastAsia="宋体" w:cs="Times New Roman"/>
          <w:kern w:val="2"/>
          <w:sz w:val="28"/>
          <w:szCs w:val="28"/>
          <w:lang w:val="en-US" w:eastAsia="zh-CN" w:bidi="ar-SA"/>
        </w:rPr>
        <w:t>3.3</w:t>
      </w:r>
      <w:r>
        <w:rPr>
          <w:rFonts w:hint="eastAsia" w:ascii="Times New Roman" w:hAnsi="Times New Roman" w:eastAsia="宋体" w:cs="Times New Roman"/>
          <w:kern w:val="2"/>
          <w:sz w:val="28"/>
          <w:szCs w:val="28"/>
          <w:lang w:val="en-US" w:eastAsia="zh-CN" w:bidi="ar-SA"/>
        </w:rPr>
        <w:t>℃。早春季节有扬沙、沙尘暴现象，夏季多雨，冬季寒冷</w:t>
      </w:r>
      <w:r>
        <w:rPr>
          <w:rFonts w:hint="eastAsia" w:eastAsia="宋体" w:cs="Times New Roman"/>
          <w:kern w:val="2"/>
          <w:sz w:val="28"/>
          <w:szCs w:val="28"/>
          <w:lang w:val="en-US" w:eastAsia="zh-CN" w:bidi="ar-SA"/>
        </w:rPr>
        <w:t>。</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eastAsia="宋体" w:cs="Times New Roman"/>
          <w:kern w:val="2"/>
          <w:sz w:val="28"/>
          <w:szCs w:val="28"/>
          <w:lang w:val="en-US" w:eastAsia="zh-CN" w:bidi="ar-SA"/>
        </w:rPr>
      </w:pPr>
      <w:r>
        <w:rPr>
          <w:rFonts w:hint="eastAsia" w:eastAsia="宋体" w:cs="Times New Roman"/>
          <w:kern w:val="2"/>
          <w:sz w:val="28"/>
          <w:szCs w:val="28"/>
          <w:lang w:val="en-US" w:eastAsia="zh-CN" w:bidi="ar-SA"/>
        </w:rPr>
        <w:t>2）水文特征</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大庆市有自然水面29.27万公顷，水源来自嫩江、松花江和天然降水。嫩江水在境内流经长度260.9千米，年径流量300多亿立方米，灌溉面积24.98万公顷。</w:t>
      </w: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"https://baike.baidu.com/item/%E6%9D%BE%E8%8A%B1%E6%B1%9F/29902" \t "https://baike.baidu.com/item/%E5%A4%A7%E5%BA%86/_blank"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松花江</w:t>
      </w:r>
      <w:r>
        <w:rPr>
          <w:rFonts w:hint="default" w:ascii="Times New Roman" w:hAnsi="Times New Roman" w:eastAsia="宋体"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t>在境内流经长度128.6千米，年径流量272.8亿立方米。</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eastAsia="宋体" w:cs="Times New Roman"/>
          <w:kern w:val="2"/>
          <w:sz w:val="28"/>
          <w:szCs w:val="28"/>
          <w:lang w:val="en-US" w:eastAsia="zh-CN" w:bidi="ar-SA"/>
        </w:rPr>
      </w:pPr>
      <w:r>
        <w:rPr>
          <w:rFonts w:hint="eastAsia" w:eastAsia="宋体" w:cs="Times New Roman"/>
          <w:kern w:val="2"/>
          <w:sz w:val="28"/>
          <w:szCs w:val="28"/>
          <w:lang w:val="en-US" w:eastAsia="zh-CN" w:bidi="ar-SA"/>
        </w:rPr>
        <w:t>3）地形地貌</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地形</w:t>
      </w:r>
      <w:r>
        <w:rPr>
          <w:rFonts w:hint="default" w:ascii="Times New Roman" w:hAnsi="Times New Roman" w:eastAsia="宋体" w:cs="Times New Roman"/>
          <w:kern w:val="2"/>
          <w:sz w:val="28"/>
          <w:szCs w:val="28"/>
          <w:lang w:val="en-US" w:eastAsia="zh-CN" w:bidi="ar-SA"/>
        </w:rPr>
        <w:t>以平原低地为主，地势北高南低。大庆市位于黑龙江省西部，松辽盆地中央坳陷区北部。</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ascii="Times New Roman" w:hAnsi="Times New Roman" w:eastAsia="宋体" w:cs="Times New Roman"/>
          <w:kern w:val="2"/>
          <w:sz w:val="28"/>
          <w:szCs w:val="28"/>
          <w:lang w:val="en-US" w:eastAsia="zh-CN" w:bidi="ar-SA"/>
        </w:rPr>
      </w:pPr>
      <w:r>
        <w:rPr>
          <w:rFonts w:hint="eastAsia" w:eastAsia="宋体" w:cs="Times New Roman"/>
          <w:kern w:val="2"/>
          <w:sz w:val="28"/>
          <w:szCs w:val="28"/>
          <w:lang w:val="en-US" w:eastAsia="zh-CN" w:bidi="ar-SA"/>
        </w:rPr>
        <w:t>4）地震烈度</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sz w:val="28"/>
          <w:szCs w:val="28"/>
          <w:lang w:val="en-US" w:eastAsia="zh-CN"/>
        </w:rPr>
      </w:pPr>
      <w:r>
        <w:rPr>
          <w:rFonts w:hint="eastAsia"/>
          <w:sz w:val="28"/>
          <w:szCs w:val="28"/>
          <w:lang w:val="en-US" w:eastAsia="zh-CN"/>
        </w:rPr>
        <w:t>该地区的抗震设防烈度为7度。</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eastAsia="宋体" w:cs="Times New Roman"/>
          <w:b/>
          <w:bCs/>
          <w:kern w:val="2"/>
          <w:sz w:val="28"/>
          <w:szCs w:val="28"/>
          <w:lang w:val="en-US" w:eastAsia="zh-CN" w:bidi="ar-SA"/>
        </w:rPr>
      </w:pPr>
      <w:r>
        <w:rPr>
          <w:rFonts w:hint="eastAsia" w:eastAsia="宋体" w:cs="Times New Roman"/>
          <w:b/>
          <w:bCs/>
          <w:kern w:val="2"/>
          <w:sz w:val="28"/>
          <w:szCs w:val="28"/>
          <w:lang w:val="en-US" w:eastAsia="zh-CN" w:bidi="ar-SA"/>
        </w:rPr>
        <w:t>3.新疆沙雅县自然条件</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eastAsia="宋体" w:cs="Times New Roman"/>
          <w:kern w:val="2"/>
          <w:sz w:val="28"/>
          <w:szCs w:val="28"/>
          <w:lang w:val="en-US" w:eastAsia="zh-CN" w:bidi="ar-SA"/>
        </w:rPr>
      </w:pPr>
      <w:r>
        <w:rPr>
          <w:rFonts w:hint="eastAsia" w:eastAsia="宋体" w:cs="Times New Roman"/>
          <w:kern w:val="2"/>
          <w:sz w:val="28"/>
          <w:szCs w:val="28"/>
          <w:lang w:val="en-US" w:eastAsia="zh-CN" w:bidi="ar-SA"/>
        </w:rPr>
        <w:t>1）气候特征</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eastAsia="宋体" w:cs="Times New Roman"/>
          <w:kern w:val="2"/>
          <w:sz w:val="28"/>
          <w:szCs w:val="28"/>
          <w:lang w:val="en-US" w:eastAsia="zh-CN" w:bidi="ar-SA"/>
        </w:rPr>
      </w:pPr>
      <w:r>
        <w:rPr>
          <w:rFonts w:hint="eastAsia" w:eastAsia="宋体" w:cs="Times New Roman"/>
          <w:kern w:val="2"/>
          <w:sz w:val="28"/>
          <w:szCs w:val="28"/>
          <w:lang w:val="en-US" w:eastAsia="zh-CN" w:bidi="ar-SA"/>
        </w:rPr>
        <w:t>沙雅县属暖温带沙漠边缘气候区，北受拜城、库车等邻县荒漠沙地的影响及南部塔克拉玛干大沙漠的影响极大，县内长年日照充足，热量充沛，降水稀少，气候干燥，昼夜温差大，常年主风向为北风或东北风。</w:t>
      </w:r>
      <w:bookmarkStart w:id="25" w:name="ref_[11]_972488"/>
      <w:r>
        <w:rPr>
          <w:rFonts w:hint="default" w:eastAsia="宋体" w:cs="Times New Roman"/>
          <w:kern w:val="2"/>
          <w:sz w:val="28"/>
          <w:szCs w:val="28"/>
          <w:lang w:val="en-US" w:eastAsia="zh-CN" w:bidi="ar-SA"/>
        </w:rPr>
        <w:t>常年平均日照3031.2小时，7月份最长达308.3小时，日平均9.9小时，1月份最短仅202.5小时，日平均6.58小时。沙雅县平均气温10.7℃，7月份最高24.9℃，极端最高气温41.6℃，最低气温-28.7℃。 </w:t>
      </w:r>
      <w:bookmarkEnd w:id="25"/>
      <w:r>
        <w:rPr>
          <w:rFonts w:hint="default" w:eastAsia="宋体" w:cs="Times New Roman"/>
          <w:kern w:val="2"/>
          <w:sz w:val="28"/>
          <w:szCs w:val="28"/>
          <w:lang w:val="en-US" w:eastAsia="zh-CN" w:bidi="ar-SA"/>
        </w:rPr>
        <w:t>年平均降水47.3</w:t>
      </w:r>
      <w:r>
        <w:rPr>
          <w:rFonts w:hint="eastAsia" w:eastAsia="宋体" w:cs="Times New Roman"/>
          <w:kern w:val="2"/>
          <w:sz w:val="28"/>
          <w:szCs w:val="28"/>
          <w:lang w:val="en-US" w:eastAsia="zh-CN" w:bidi="ar-SA"/>
        </w:rPr>
        <w:t>mm</w:t>
      </w:r>
      <w:r>
        <w:rPr>
          <w:rFonts w:hint="default" w:eastAsia="宋体" w:cs="Times New Roman"/>
          <w:kern w:val="2"/>
          <w:sz w:val="28"/>
          <w:szCs w:val="28"/>
          <w:lang w:val="en-US" w:eastAsia="zh-CN" w:bidi="ar-SA"/>
        </w:rPr>
        <w:t>，年均蒸发量2000.7</w:t>
      </w:r>
      <w:r>
        <w:rPr>
          <w:rFonts w:hint="eastAsia" w:eastAsia="宋体" w:cs="Times New Roman"/>
          <w:kern w:val="2"/>
          <w:sz w:val="28"/>
          <w:szCs w:val="28"/>
          <w:lang w:val="en-US" w:eastAsia="zh-CN" w:bidi="ar-SA"/>
        </w:rPr>
        <w:t>mm</w:t>
      </w:r>
      <w:r>
        <w:rPr>
          <w:rFonts w:hint="default" w:eastAsia="宋体" w:cs="Times New Roman"/>
          <w:kern w:val="2"/>
          <w:sz w:val="28"/>
          <w:szCs w:val="28"/>
          <w:lang w:val="en-US" w:eastAsia="zh-CN" w:bidi="ar-SA"/>
        </w:rPr>
        <w:t>，蒸发量是降水量的42.3倍，夏季降水较多，初雪日最早出现在12月底，终雪日最迟在2月21日，最大积雪深度为10厘米，早霜一般在3月30日前后，晚霜在10月底出现。</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eastAsia="宋体" w:cs="Times New Roman"/>
          <w:kern w:val="2"/>
          <w:sz w:val="28"/>
          <w:szCs w:val="28"/>
          <w:lang w:val="en-US" w:eastAsia="zh-CN" w:bidi="ar-SA"/>
        </w:rPr>
      </w:pPr>
      <w:r>
        <w:rPr>
          <w:rFonts w:hint="eastAsia" w:eastAsia="宋体" w:cs="Times New Roman"/>
          <w:kern w:val="2"/>
          <w:sz w:val="28"/>
          <w:szCs w:val="28"/>
          <w:lang w:val="en-US" w:eastAsia="zh-CN" w:bidi="ar-SA"/>
        </w:rPr>
        <w:t>2）水文特征</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eastAsia="宋体" w:cs="Times New Roman"/>
          <w:kern w:val="2"/>
          <w:sz w:val="28"/>
          <w:szCs w:val="28"/>
          <w:lang w:val="en-US" w:eastAsia="zh-CN" w:bidi="ar-SA"/>
        </w:rPr>
      </w:pPr>
      <w:r>
        <w:rPr>
          <w:rFonts w:hint="default" w:eastAsia="宋体" w:cs="Times New Roman"/>
          <w:kern w:val="2"/>
          <w:sz w:val="28"/>
          <w:szCs w:val="28"/>
          <w:lang w:val="en-US" w:eastAsia="zh-CN" w:bidi="ar-SA"/>
        </w:rPr>
        <w:t>沙雅渭干河平原地下水年均储蓄量有2亿立方米。</w:t>
      </w:r>
      <w:r>
        <w:rPr>
          <w:rFonts w:hint="default" w:eastAsia="宋体" w:cs="Times New Roman"/>
          <w:kern w:val="2"/>
          <w:sz w:val="28"/>
          <w:szCs w:val="28"/>
          <w:lang w:val="en-US" w:eastAsia="zh-CN" w:bidi="ar-SA"/>
        </w:rPr>
        <w:fldChar w:fldCharType="begin"/>
      </w:r>
      <w:r>
        <w:rPr>
          <w:rFonts w:hint="default" w:eastAsia="宋体" w:cs="Times New Roman"/>
          <w:kern w:val="2"/>
          <w:sz w:val="28"/>
          <w:szCs w:val="28"/>
          <w:lang w:val="en-US" w:eastAsia="zh-CN" w:bidi="ar-SA"/>
        </w:rPr>
        <w:instrText xml:space="preserve"> HYPERLINK "https://baike.baidu.com/item/%E5%A1%94%E9%87%8C%E6%9C%A8%E6%B2%B3/3336" \t "https://baike.baidu.com/item/_blank" </w:instrText>
      </w:r>
      <w:r>
        <w:rPr>
          <w:rFonts w:hint="default" w:eastAsia="宋体" w:cs="Times New Roman"/>
          <w:kern w:val="2"/>
          <w:sz w:val="28"/>
          <w:szCs w:val="28"/>
          <w:lang w:val="en-US" w:eastAsia="zh-CN" w:bidi="ar-SA"/>
        </w:rPr>
        <w:fldChar w:fldCharType="separate"/>
      </w:r>
      <w:r>
        <w:rPr>
          <w:rFonts w:hint="default" w:eastAsia="宋体" w:cs="Times New Roman"/>
          <w:kern w:val="2"/>
          <w:sz w:val="28"/>
          <w:szCs w:val="28"/>
          <w:lang w:val="en-US" w:eastAsia="zh-CN" w:bidi="ar-SA"/>
        </w:rPr>
        <w:t>塔里木河</w:t>
      </w:r>
      <w:r>
        <w:rPr>
          <w:rFonts w:hint="default" w:eastAsia="宋体" w:cs="Times New Roman"/>
          <w:kern w:val="2"/>
          <w:sz w:val="28"/>
          <w:szCs w:val="28"/>
          <w:lang w:val="en-US" w:eastAsia="zh-CN" w:bidi="ar-SA"/>
        </w:rPr>
        <w:fldChar w:fldCharType="end"/>
      </w:r>
      <w:r>
        <w:rPr>
          <w:rFonts w:hint="default" w:eastAsia="宋体" w:cs="Times New Roman"/>
          <w:kern w:val="2"/>
          <w:sz w:val="28"/>
          <w:szCs w:val="28"/>
          <w:lang w:val="en-US" w:eastAsia="zh-CN" w:bidi="ar-SA"/>
        </w:rPr>
        <w:t>冲积平原地下水开采量1.21亿立方米。有湖泊4处，均集中在塔里木河两岸，大多为咸水。</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eastAsia="宋体" w:cs="Times New Roman"/>
          <w:kern w:val="2"/>
          <w:sz w:val="28"/>
          <w:szCs w:val="28"/>
          <w:lang w:val="en-US" w:eastAsia="zh-CN" w:bidi="ar-SA"/>
        </w:rPr>
      </w:pPr>
      <w:r>
        <w:rPr>
          <w:rFonts w:hint="eastAsia" w:eastAsia="宋体" w:cs="Times New Roman"/>
          <w:kern w:val="2"/>
          <w:sz w:val="28"/>
          <w:szCs w:val="28"/>
          <w:lang w:val="en-US" w:eastAsia="zh-CN" w:bidi="ar-SA"/>
        </w:rPr>
        <w:t>3）地形地貌</w:t>
      </w:r>
    </w:p>
    <w:p>
      <w:pPr>
        <w:keepNext w:val="0"/>
        <w:keepLines w:val="0"/>
        <w:pageBreakBefore w:val="0"/>
        <w:widowControl/>
        <w:suppressLineNumbers w:val="0"/>
        <w:shd w:val="clear" w:fill="FFFFFF"/>
        <w:kinsoku/>
        <w:wordWrap/>
        <w:overflowPunct/>
        <w:topLinePunct w:val="0"/>
        <w:autoSpaceDE/>
        <w:autoSpaceDN/>
        <w:bidi w:val="0"/>
        <w:adjustRightInd w:val="0"/>
        <w:snapToGrid w:val="0"/>
        <w:spacing w:afterAutospacing="0" w:line="360" w:lineRule="auto"/>
        <w:ind w:left="0" w:firstLine="560" w:firstLineChars="200"/>
        <w:jc w:val="both"/>
        <w:textAlignment w:val="auto"/>
        <w:rPr>
          <w:rFonts w:hint="default" w:ascii="Times New Roman" w:hAnsi="Times New Roman" w:eastAsia="宋体"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t>沙雅县地域辽阔，地貌奇特，大致可分为三大部分即</w:t>
      </w: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"https://baike.baidu.com/item/%E6%B8%AD%E5%B9%B2%E6%B2%B3" \t "https://baike.baidu.com/item/_blank"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渭干河</w:t>
      </w:r>
      <w:r>
        <w:rPr>
          <w:rFonts w:hint="default" w:ascii="Times New Roman" w:hAnsi="Times New Roman" w:eastAsia="宋体"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"https://baike.baidu.com/item/%E5%86%B2%E7%A7%AF%E6%89%87" \t "https://baike.baidu.com/item/_blank"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冲积扇</w:t>
      </w:r>
      <w:r>
        <w:rPr>
          <w:rFonts w:hint="default" w:ascii="Times New Roman" w:hAnsi="Times New Roman" w:eastAsia="宋体"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t>平原、</w:t>
      </w: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"https://baike.baidu.com/item/%E5%A1%94%E9%87%8C%E6%9C%A8%E6%B2%B3/3336" \t "https://baike.baidu.com/item/_blank"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塔里木河</w:t>
      </w:r>
      <w:r>
        <w:rPr>
          <w:rFonts w:hint="default" w:ascii="Times New Roman" w:hAnsi="Times New Roman" w:eastAsia="宋体"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t>谷平原、</w:t>
      </w: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"https://baike.baidu.com/item/%E6%B2%99%E6%BC%A0/24070" \t "https://baike.baidu.com/item/_blank"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沙漠</w:t>
      </w:r>
      <w:r>
        <w:rPr>
          <w:rFonts w:hint="default" w:ascii="Times New Roman" w:hAnsi="Times New Roman" w:eastAsia="宋体"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val="0"/>
        <w:snapToGrid w:val="0"/>
        <w:spacing w:afterAutospacing="0" w:line="360" w:lineRule="auto"/>
        <w:ind w:left="0" w:firstLine="560" w:firstLineChars="200"/>
        <w:jc w:val="both"/>
        <w:textAlignment w:val="auto"/>
        <w:rPr>
          <w:rFonts w:hint="default" w:ascii="Helvetica" w:hAnsi="Helvetica" w:eastAsia="Helvetica" w:cs="Helvetica"/>
          <w:i w:val="0"/>
          <w:iCs w:val="0"/>
          <w:caps w:val="0"/>
          <w:color w:val="333333"/>
          <w:spacing w:val="0"/>
          <w:sz w:val="21"/>
          <w:szCs w:val="21"/>
        </w:rPr>
      </w:pPr>
      <w:r>
        <w:rPr>
          <w:rFonts w:hint="default" w:ascii="Times New Roman" w:hAnsi="Times New Roman" w:eastAsia="宋体" w:cs="Times New Roman"/>
          <w:kern w:val="2"/>
          <w:sz w:val="28"/>
          <w:szCs w:val="28"/>
          <w:lang w:val="en-US" w:eastAsia="zh-CN" w:bidi="ar-SA"/>
        </w:rPr>
        <w:t>沙漠位于南部，面积约25732平方千米，约占全县总面积的80.4%。而塔里木河自西向东在沙雅县中部偏北横贯全县，将本县分为南北两部分，北部为</w:t>
      </w:r>
      <w:r>
        <w:rPr>
          <w:rFonts w:hint="default" w:ascii="Times New Roman" w:hAnsi="Times New Roman" w:eastAsia="宋体" w:cs="Times New Roman"/>
          <w:kern w:val="2"/>
          <w:sz w:val="28"/>
          <w:szCs w:val="28"/>
          <w:lang w:val="en-US" w:eastAsia="zh-CN" w:bidi="ar-SA"/>
        </w:rPr>
        <w:fldChar w:fldCharType="begin"/>
      </w:r>
      <w:r>
        <w:rPr>
          <w:rFonts w:hint="default" w:ascii="Times New Roman" w:hAnsi="Times New Roman" w:eastAsia="宋体" w:cs="Times New Roman"/>
          <w:kern w:val="2"/>
          <w:sz w:val="28"/>
          <w:szCs w:val="28"/>
          <w:lang w:val="en-US" w:eastAsia="zh-CN" w:bidi="ar-SA"/>
        </w:rPr>
        <w:instrText xml:space="preserve"> HYPERLINK "https://baike.baidu.com/item/%E6%B8%AD%E5%B9%B2%E6%B2%B3" \t "https://baike.baidu.com/item/_blank" </w:instrText>
      </w:r>
      <w:r>
        <w:rPr>
          <w:rFonts w:hint="default" w:ascii="Times New Roman" w:hAnsi="Times New Roman" w:eastAsia="宋体" w:cs="Times New Roman"/>
          <w:kern w:val="2"/>
          <w:sz w:val="28"/>
          <w:szCs w:val="28"/>
          <w:lang w:val="en-US" w:eastAsia="zh-CN" w:bidi="ar-SA"/>
        </w:rPr>
        <w:fldChar w:fldCharType="separate"/>
      </w:r>
      <w:r>
        <w:rPr>
          <w:rFonts w:hint="default" w:ascii="Times New Roman" w:hAnsi="Times New Roman" w:eastAsia="宋体" w:cs="Times New Roman"/>
          <w:kern w:val="2"/>
          <w:sz w:val="28"/>
          <w:szCs w:val="28"/>
          <w:lang w:val="en-US" w:eastAsia="zh-CN" w:bidi="ar-SA"/>
        </w:rPr>
        <w:t>渭干河</w:t>
      </w:r>
      <w:r>
        <w:rPr>
          <w:rFonts w:hint="default" w:ascii="Times New Roman" w:hAnsi="Times New Roman" w:eastAsia="宋体"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t>冲积扇下游平原区，为沙雅县的农业及人口聚居的地方。面积有880平方千米，占总面积的2.75%</w:t>
      </w:r>
      <w:r>
        <w:rPr>
          <w:rFonts w:hint="default" w:ascii="Helvetica" w:hAnsi="Helvetica" w:eastAsia="Helvetica" w:cs="Helvetica"/>
          <w:i w:val="0"/>
          <w:iCs w:val="0"/>
          <w:caps w:val="0"/>
          <w:color w:val="333333"/>
          <w:spacing w:val="0"/>
          <w:kern w:val="0"/>
          <w:sz w:val="21"/>
          <w:szCs w:val="21"/>
          <w:shd w:val="clear" w:fill="FFFFFF"/>
          <w:lang w:val="en-US" w:eastAsia="zh-CN" w:bidi="ar"/>
        </w:rPr>
        <w:t>。</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default" w:eastAsia="宋体" w:cs="Times New Roman"/>
          <w:kern w:val="2"/>
          <w:sz w:val="28"/>
          <w:szCs w:val="28"/>
          <w:lang w:val="en-US" w:eastAsia="zh-CN" w:bidi="ar-SA"/>
        </w:rPr>
      </w:pPr>
      <w:r>
        <w:rPr>
          <w:rFonts w:hint="eastAsia" w:eastAsia="宋体" w:cs="Times New Roman"/>
          <w:kern w:val="2"/>
          <w:sz w:val="28"/>
          <w:szCs w:val="28"/>
          <w:lang w:val="en-US" w:eastAsia="zh-CN" w:bidi="ar-SA"/>
        </w:rPr>
        <w:t>4）地震烈度</w:t>
      </w:r>
    </w:p>
    <w:p>
      <w:pPr>
        <w:pStyle w:val="216"/>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560" w:firstLineChars="200"/>
        <w:jc w:val="both"/>
        <w:textAlignment w:val="auto"/>
        <w:rPr>
          <w:rFonts w:hint="eastAsia" w:eastAsia="宋体" w:cs="Times New Roman"/>
          <w:kern w:val="2"/>
          <w:sz w:val="28"/>
          <w:szCs w:val="28"/>
          <w:lang w:val="en-US" w:eastAsia="zh-CN" w:bidi="ar-SA"/>
        </w:rPr>
      </w:pPr>
      <w:r>
        <w:rPr>
          <w:rFonts w:hint="eastAsia"/>
          <w:sz w:val="28"/>
          <w:szCs w:val="28"/>
          <w:lang w:val="en-US" w:eastAsia="zh-CN"/>
        </w:rPr>
        <w:t>该地区的抗震设防烈度为7度。</w:t>
      </w:r>
    </w:p>
    <w:p>
      <w:pPr>
        <w:pStyle w:val="4"/>
        <w:adjustRightInd w:val="0"/>
        <w:snapToGrid w:val="0"/>
        <w:spacing w:before="0" w:after="0" w:line="360" w:lineRule="auto"/>
        <w:ind w:firstLine="420" w:firstLineChars="0"/>
        <w:rPr>
          <w:rFonts w:ascii="Times New Roman" w:hAnsi="Times New Roman"/>
          <w:b w:val="0"/>
          <w:bCs/>
          <w:szCs w:val="32"/>
        </w:rPr>
      </w:pPr>
      <w:bookmarkStart w:id="26" w:name="_Toc31098"/>
      <w:r>
        <w:rPr>
          <w:rFonts w:hint="eastAsia" w:ascii="Times New Roman" w:hAnsi="Times New Roman"/>
          <w:b w:val="0"/>
          <w:bCs/>
          <w:szCs w:val="32"/>
        </w:rPr>
        <w:t>2.</w:t>
      </w:r>
      <w:r>
        <w:rPr>
          <w:rFonts w:ascii="Times New Roman" w:hAnsi="Times New Roman"/>
          <w:b w:val="0"/>
          <w:bCs/>
          <w:szCs w:val="32"/>
        </w:rPr>
        <w:t xml:space="preserve">4 </w:t>
      </w:r>
      <w:r>
        <w:rPr>
          <w:rFonts w:hint="eastAsia" w:ascii="Times New Roman" w:hAnsi="Times New Roman"/>
          <w:b w:val="0"/>
          <w:bCs/>
          <w:szCs w:val="32"/>
        </w:rPr>
        <w:t>安全生产管理机构的设置和安全生产管理人员的配备</w:t>
      </w:r>
      <w:bookmarkEnd w:id="26"/>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根据《中华人民共和国安全生产法》（</w:t>
      </w:r>
      <w:r>
        <w:rPr>
          <w:rFonts w:hint="eastAsia"/>
          <w:b w:val="0"/>
          <w:bCs w:val="0"/>
          <w:color w:val="auto"/>
          <w:sz w:val="28"/>
          <w:szCs w:val="28"/>
        </w:rPr>
        <w:t>主席令</w:t>
      </w:r>
      <w:r>
        <w:rPr>
          <w:rFonts w:hint="eastAsia"/>
          <w:b w:val="0"/>
          <w:bCs w:val="0"/>
          <w:color w:val="auto"/>
          <w:sz w:val="28"/>
          <w:szCs w:val="28"/>
          <w:lang w:val="en-US" w:eastAsia="zh-CN"/>
        </w:rPr>
        <w:t>[2002]第70号，经第13号，</w:t>
      </w:r>
      <w:r>
        <w:rPr>
          <w:rFonts w:hint="eastAsia"/>
          <w:b w:val="0"/>
          <w:bCs w:val="0"/>
          <w:color w:val="auto"/>
          <w:sz w:val="28"/>
          <w:szCs w:val="28"/>
        </w:rPr>
        <w:t>第</w:t>
      </w:r>
      <w:r>
        <w:rPr>
          <w:rFonts w:hint="eastAsia"/>
          <w:b w:val="0"/>
          <w:bCs w:val="0"/>
          <w:color w:val="auto"/>
          <w:sz w:val="28"/>
          <w:szCs w:val="28"/>
          <w:lang w:val="en-US" w:eastAsia="zh-CN"/>
        </w:rPr>
        <w:t>88</w:t>
      </w:r>
      <w:r>
        <w:rPr>
          <w:rFonts w:hint="eastAsia"/>
          <w:b w:val="0"/>
          <w:bCs w:val="0"/>
          <w:color w:val="auto"/>
          <w:sz w:val="28"/>
          <w:szCs w:val="28"/>
        </w:rPr>
        <w:t>号</w:t>
      </w:r>
      <w:r>
        <w:rPr>
          <w:rFonts w:hint="eastAsia"/>
          <w:b w:val="0"/>
          <w:bCs w:val="0"/>
          <w:color w:val="auto"/>
          <w:sz w:val="28"/>
          <w:szCs w:val="28"/>
          <w:lang w:val="en-US" w:eastAsia="zh-CN"/>
        </w:rPr>
        <w:t>修订</w:t>
      </w:r>
      <w:r>
        <w:rPr>
          <w:rFonts w:hint="eastAsia"/>
          <w:sz w:val="28"/>
          <w:szCs w:val="28"/>
        </w:rPr>
        <w:t>）第二十</w:t>
      </w:r>
      <w:r>
        <w:rPr>
          <w:rFonts w:hint="eastAsia"/>
          <w:sz w:val="28"/>
          <w:szCs w:val="28"/>
          <w:lang w:val="en-US" w:eastAsia="zh-CN"/>
        </w:rPr>
        <w:t>四</w:t>
      </w:r>
      <w:r>
        <w:rPr>
          <w:rFonts w:hint="eastAsia"/>
          <w:sz w:val="28"/>
          <w:szCs w:val="28"/>
        </w:rPr>
        <w:t>条，</w:t>
      </w:r>
      <w:r>
        <w:rPr>
          <w:rFonts w:hint="eastAsia"/>
          <w:sz w:val="28"/>
          <w:szCs w:val="28"/>
          <w:lang w:eastAsia="zh-CN"/>
        </w:rPr>
        <w:t>“</w:t>
      </w:r>
      <w:r>
        <w:rPr>
          <w:rFonts w:hint="eastAsia"/>
          <w:sz w:val="28"/>
          <w:szCs w:val="28"/>
        </w:rPr>
        <w:t>矿山、金属冶炼、建筑施工、运输单位和危险物品的生产、经营、储存</w:t>
      </w:r>
      <w:r>
        <w:rPr>
          <w:rFonts w:hint="eastAsia"/>
          <w:sz w:val="28"/>
          <w:szCs w:val="28"/>
          <w:lang w:eastAsia="zh-CN"/>
        </w:rPr>
        <w:t>、</w:t>
      </w:r>
      <w:r>
        <w:rPr>
          <w:rFonts w:hint="eastAsia"/>
          <w:sz w:val="28"/>
          <w:szCs w:val="28"/>
          <w:lang w:val="en-US" w:eastAsia="zh-CN"/>
        </w:rPr>
        <w:t>装卸</w:t>
      </w:r>
      <w:r>
        <w:rPr>
          <w:rFonts w:hint="eastAsia"/>
          <w:sz w:val="28"/>
          <w:szCs w:val="28"/>
        </w:rPr>
        <w:t>单位，应当设置安全生产管理机构或者配备专职安全生产管理人员。</w:t>
      </w:r>
      <w:r>
        <w:rPr>
          <w:rFonts w:hint="eastAsia"/>
          <w:sz w:val="28"/>
          <w:szCs w:val="28"/>
          <w:lang w:eastAsia="zh-CN"/>
        </w:rPr>
        <w:t>”</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根据《山东省生产经营单位安全生产主体责任规定》（</w:t>
      </w:r>
      <w:r>
        <w:rPr>
          <w:rFonts w:hint="eastAsia"/>
          <w:sz w:val="28"/>
        </w:rPr>
        <w:t>东省人民政府令</w:t>
      </w:r>
      <w:r>
        <w:rPr>
          <w:rFonts w:hint="eastAsia"/>
          <w:sz w:val="28"/>
          <w:lang w:val="en-US" w:eastAsia="zh-CN"/>
        </w:rPr>
        <w:t>第260号，经第303号、</w:t>
      </w:r>
      <w:r>
        <w:rPr>
          <w:rFonts w:hint="eastAsia"/>
          <w:sz w:val="28"/>
        </w:rPr>
        <w:t>第311号修订</w:t>
      </w:r>
      <w:r>
        <w:rPr>
          <w:rFonts w:hint="eastAsia"/>
          <w:sz w:val="28"/>
          <w:szCs w:val="28"/>
        </w:rPr>
        <w:t>）第九条，</w:t>
      </w:r>
      <w:r>
        <w:rPr>
          <w:rFonts w:hint="eastAsia"/>
          <w:sz w:val="28"/>
          <w:szCs w:val="28"/>
          <w:lang w:eastAsia="zh-CN"/>
        </w:rPr>
        <w:t>“</w:t>
      </w:r>
      <w:r>
        <w:rPr>
          <w:rFonts w:hint="eastAsia"/>
          <w:sz w:val="28"/>
          <w:szCs w:val="28"/>
        </w:rPr>
        <w:t>矿山、金属冶炼、道路运输、建筑施工单位，危险物品的生产、经营、储存、装卸、运输单位和使用危险物品从事生产并且使用量达到规定数量的单位（以下简称高危生产经营单位），应当按照下列规定设置安全生产管理机构或者配备安全生产管理人员</w:t>
      </w:r>
      <w:r>
        <w:rPr>
          <w:rFonts w:hint="eastAsia"/>
          <w:sz w:val="28"/>
          <w:szCs w:val="28"/>
          <w:lang w:eastAsia="zh-CN"/>
        </w:rPr>
        <w:t>：</w:t>
      </w:r>
      <w:r>
        <w:rPr>
          <w:rFonts w:hint="eastAsia"/>
          <w:sz w:val="28"/>
          <w:szCs w:val="28"/>
        </w:rPr>
        <w:t>从业人员在100人以上不足300人的，应当设置安全生产管理机构，并配备2名以上专职安全生产管理人员，其中至少应当有1名注册安全工程师</w:t>
      </w:r>
      <w:r>
        <w:rPr>
          <w:rFonts w:hint="eastAsia"/>
          <w:sz w:val="28"/>
          <w:szCs w:val="28"/>
          <w:lang w:eastAsia="zh-CN"/>
        </w:rPr>
        <w:t>。</w:t>
      </w:r>
    </w:p>
    <w:p>
      <w:pPr>
        <w:adjustRightInd w:val="0"/>
        <w:snapToGrid w:val="0"/>
        <w:spacing w:line="360" w:lineRule="auto"/>
        <w:ind w:firstLine="560" w:firstLineChars="200"/>
        <w:rPr>
          <w:sz w:val="28"/>
          <w:szCs w:val="28"/>
        </w:rPr>
      </w:pPr>
      <w:r>
        <w:rPr>
          <w:rFonts w:hint="eastAsia"/>
          <w:sz w:val="28"/>
          <w:lang w:eastAsia="zh-CN"/>
        </w:rPr>
        <w:t>斯伦贝谢油田技术（山东）有限公司</w:t>
      </w:r>
      <w:r>
        <w:rPr>
          <w:rFonts w:hint="eastAsia"/>
          <w:sz w:val="28"/>
          <w:szCs w:val="28"/>
        </w:rPr>
        <w:t>现有员工</w:t>
      </w:r>
      <w:r>
        <w:rPr>
          <w:rFonts w:hint="eastAsia"/>
          <w:sz w:val="28"/>
          <w:szCs w:val="28"/>
          <w:lang w:val="en-US" w:eastAsia="zh-CN"/>
        </w:rPr>
        <w:t>255</w:t>
      </w:r>
      <w:r>
        <w:rPr>
          <w:rFonts w:hint="eastAsia"/>
          <w:sz w:val="28"/>
          <w:szCs w:val="28"/>
        </w:rPr>
        <w:t>人，其中</w:t>
      </w:r>
      <w:r>
        <w:rPr>
          <w:rFonts w:hint="eastAsia"/>
          <w:sz w:val="28"/>
          <w:szCs w:val="28"/>
          <w:lang w:val="en-US" w:eastAsia="zh-CN"/>
        </w:rPr>
        <w:t>现场钻井（定向施工）</w:t>
      </w:r>
      <w:r>
        <w:rPr>
          <w:rFonts w:hint="eastAsia"/>
          <w:sz w:val="28"/>
          <w:szCs w:val="28"/>
        </w:rPr>
        <w:t>人</w:t>
      </w:r>
      <w:r>
        <w:rPr>
          <w:rFonts w:hint="eastAsia"/>
          <w:sz w:val="28"/>
          <w:szCs w:val="28"/>
          <w:lang w:val="en-US" w:eastAsia="zh-CN"/>
        </w:rPr>
        <w:t>员99人</w:t>
      </w:r>
      <w:r>
        <w:rPr>
          <w:rFonts w:hint="eastAsia"/>
          <w:sz w:val="28"/>
          <w:szCs w:val="28"/>
        </w:rPr>
        <w:t>。根据《关于</w:t>
      </w:r>
      <w:r>
        <w:rPr>
          <w:rFonts w:hint="eastAsia"/>
          <w:sz w:val="28"/>
          <w:szCs w:val="28"/>
          <w:lang w:val="en-US" w:eastAsia="zh-CN"/>
        </w:rPr>
        <w:t>成立斯伦贝谢油田技术（山东）有限公司安全生产管理委员会和配备安全生产管理员的通知</w:t>
      </w:r>
      <w:r>
        <w:rPr>
          <w:rFonts w:hint="eastAsia"/>
          <w:sz w:val="28"/>
          <w:szCs w:val="28"/>
        </w:rPr>
        <w:t>》（</w:t>
      </w:r>
      <w:r>
        <w:rPr>
          <w:rFonts w:hint="eastAsia"/>
          <w:sz w:val="28"/>
          <w:szCs w:val="28"/>
          <w:lang w:val="en-US" w:eastAsia="zh-CN"/>
        </w:rPr>
        <w:t>金地字[</w:t>
      </w:r>
      <w:r>
        <w:rPr>
          <w:rFonts w:hint="eastAsia"/>
          <w:sz w:val="28"/>
          <w:szCs w:val="28"/>
        </w:rPr>
        <w:t>20</w:t>
      </w:r>
      <w:r>
        <w:rPr>
          <w:rFonts w:hint="eastAsia"/>
          <w:sz w:val="28"/>
          <w:szCs w:val="28"/>
          <w:lang w:val="en-US" w:eastAsia="zh-CN"/>
        </w:rPr>
        <w:t>22]03</w:t>
      </w:r>
      <w:r>
        <w:rPr>
          <w:rFonts w:hint="eastAsia"/>
          <w:color w:val="auto"/>
          <w:sz w:val="28"/>
          <w:szCs w:val="28"/>
        </w:rPr>
        <w:t>号），</w:t>
      </w:r>
      <w:r>
        <w:rPr>
          <w:rFonts w:hint="eastAsia"/>
          <w:color w:val="auto"/>
          <w:sz w:val="28"/>
          <w:szCs w:val="28"/>
          <w:lang w:val="en-US" w:eastAsia="zh-CN"/>
        </w:rPr>
        <w:t>该</w:t>
      </w:r>
      <w:r>
        <w:rPr>
          <w:rFonts w:hint="eastAsia"/>
          <w:color w:val="auto"/>
          <w:sz w:val="28"/>
          <w:szCs w:val="28"/>
        </w:rPr>
        <w:t>公司设</w:t>
      </w:r>
      <w:r>
        <w:rPr>
          <w:rFonts w:hint="eastAsia"/>
          <w:color w:val="auto"/>
          <w:sz w:val="28"/>
          <w:szCs w:val="28"/>
          <w:lang w:val="en-US" w:eastAsia="zh-CN"/>
        </w:rPr>
        <w:t>安全生产管理委员会</w:t>
      </w:r>
      <w:r>
        <w:rPr>
          <w:rFonts w:hint="eastAsia"/>
          <w:color w:val="auto"/>
          <w:sz w:val="28"/>
          <w:szCs w:val="28"/>
        </w:rPr>
        <w:t>，</w:t>
      </w:r>
      <w:r>
        <w:rPr>
          <w:rFonts w:hint="eastAsia"/>
          <w:color w:val="auto"/>
          <w:sz w:val="28"/>
          <w:szCs w:val="28"/>
          <w:lang w:val="en-US" w:eastAsia="zh-CN"/>
        </w:rPr>
        <w:t>主任为何凤祥，副主任为韩春龙、刘国渝、耿淦、张士雄，委员为陈景霞、李炳超、田忠锋、徐洪武、苏丙涛、隋维县、王天梦，下设安全部作为公司安全管理机构，陈景霞为安全部经理，隋维县、王天梦为专职安全管理人员。副总经理韩春龙同志兼项目部安全管理领导小组组长，组员为项目部经理、副经理、项目部兼职安全员等，同时各部门、车间以及项目部均配备兼职HSE管理人员，相关文件详见报告附件3</w:t>
      </w:r>
      <w:r>
        <w:rPr>
          <w:rFonts w:hint="eastAsia"/>
          <w:color w:val="auto"/>
          <w:sz w:val="28"/>
          <w:szCs w:val="28"/>
        </w:rPr>
        <w:t>。</w:t>
      </w:r>
    </w:p>
    <w:p>
      <w:pPr>
        <w:adjustRightInd w:val="0"/>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《山东省安全生产条例》（2021年12月3日山东省第十三届人民代表大会常务委员会第三十二次会议修订，2022年3月1日实施）第二十一条</w:t>
      </w:r>
      <w:r>
        <w:rPr>
          <w:rFonts w:hint="eastAsia" w:cs="Times New Roman"/>
          <w:sz w:val="28"/>
          <w:szCs w:val="28"/>
          <w:lang w:eastAsia="zh-CN"/>
        </w:rPr>
        <w:t>：</w:t>
      </w:r>
      <w:r>
        <w:rPr>
          <w:rFonts w:hint="eastAsia" w:ascii="Times New Roman" w:hAnsi="Times New Roman" w:eastAsia="宋体" w:cs="Times New Roman"/>
          <w:sz w:val="28"/>
          <w:szCs w:val="28"/>
        </w:rPr>
        <w:t>从业人员一百人以上的高危生产经营单位和从业人员三百人以上的其他生产经营单位，应当依法设置安全总监。</w:t>
      </w:r>
    </w:p>
    <w:p>
      <w:pPr>
        <w:adjustRightInd w:val="0"/>
        <w:snapToGrid w:val="0"/>
        <w:spacing w:line="360" w:lineRule="auto"/>
        <w:ind w:firstLine="560" w:firstLineChars="200"/>
        <w:rPr>
          <w:rFonts w:hint="eastAsia" w:ascii="Times New Roman" w:hAnsi="Times New Roman" w:eastAsia="宋体" w:cs="Times New Roman"/>
          <w:sz w:val="28"/>
          <w:szCs w:val="28"/>
          <w:u w:val="none"/>
        </w:rPr>
      </w:pPr>
      <w:r>
        <w:rPr>
          <w:rFonts w:hint="eastAsia" w:ascii="Times New Roman" w:hAnsi="Times New Roman" w:eastAsia="宋体" w:cs="Times New Roman"/>
          <w:sz w:val="28"/>
          <w:szCs w:val="28"/>
          <w:u w:val="none"/>
        </w:rPr>
        <w:t>《山东省生产经营单位安全总监制度实施办法（试行）的通知》（鲁政办字[2021]60号）第四条</w:t>
      </w:r>
      <w:r>
        <w:rPr>
          <w:rFonts w:hint="eastAsia" w:cs="Times New Roman"/>
          <w:sz w:val="28"/>
          <w:szCs w:val="28"/>
          <w:u w:val="none"/>
          <w:lang w:eastAsia="zh-CN"/>
        </w:rPr>
        <w:t>：</w:t>
      </w:r>
      <w:r>
        <w:rPr>
          <w:rFonts w:hint="eastAsia" w:ascii="Times New Roman" w:hAnsi="Times New Roman" w:eastAsia="宋体" w:cs="Times New Roman"/>
          <w:sz w:val="28"/>
          <w:szCs w:val="28"/>
          <w:u w:val="none"/>
        </w:rPr>
        <w:t>矿山、金属冶炼、运输、建筑施工、粉尘涉爆单位，危险物品的生产、经营、储存、装卸单位，依法应当设置安全总监。</w:t>
      </w:r>
    </w:p>
    <w:p>
      <w:pPr>
        <w:adjustRightInd w:val="0"/>
        <w:snapToGrid w:val="0"/>
        <w:spacing w:line="36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rPr>
        <w:t>第六条</w:t>
      </w:r>
      <w:r>
        <w:rPr>
          <w:rFonts w:hint="eastAsia" w:cs="Times New Roman"/>
          <w:sz w:val="28"/>
          <w:szCs w:val="28"/>
          <w:lang w:eastAsia="zh-CN"/>
        </w:rPr>
        <w:t>：</w:t>
      </w:r>
      <w:r>
        <w:rPr>
          <w:rFonts w:hint="eastAsia" w:ascii="Times New Roman" w:hAnsi="Times New Roman" w:eastAsia="宋体" w:cs="Times New Roman"/>
          <w:sz w:val="28"/>
          <w:szCs w:val="28"/>
        </w:rPr>
        <w:t>安全总监应当具备下列基本条件</w:t>
      </w:r>
      <w:r>
        <w:rPr>
          <w:rFonts w:hint="eastAsia" w:cs="Times New Roman"/>
          <w:sz w:val="28"/>
          <w:szCs w:val="28"/>
          <w:lang w:eastAsia="zh-CN"/>
        </w:rPr>
        <w:t>：</w:t>
      </w:r>
    </w:p>
    <w:p>
      <w:pPr>
        <w:adjustRightInd w:val="0"/>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（六）取得工程师及以上职称或注册安全工程师资格，且在本行业领域内从事安全管理工作满3年；</w:t>
      </w:r>
    </w:p>
    <w:p>
      <w:pPr>
        <w:adjustRightInd w:val="0"/>
        <w:snapToGrid w:val="0"/>
        <w:spacing w:line="360" w:lineRule="auto"/>
        <w:ind w:firstLine="560" w:firstLineChars="200"/>
        <w:rPr>
          <w:rFonts w:hint="default" w:ascii="Times New Roman" w:hAnsi="Times New Roman" w:eastAsia="宋体" w:cs="Times New Roman"/>
          <w:b w:val="0"/>
          <w:bCs w:val="0"/>
          <w:sz w:val="28"/>
          <w:szCs w:val="28"/>
          <w:lang w:val="en-US" w:eastAsia="zh-CN"/>
        </w:rPr>
      </w:pPr>
      <w:bookmarkStart w:id="27" w:name="_Hlk92912673"/>
      <w:r>
        <w:rPr>
          <w:rFonts w:hint="eastAsia" w:cs="Times New Roman"/>
          <w:b w:val="0"/>
          <w:bCs w:val="0"/>
          <w:sz w:val="28"/>
          <w:szCs w:val="28"/>
          <w:lang w:val="en-US" w:eastAsia="zh-CN"/>
        </w:rPr>
        <w:t>第十一</w:t>
      </w:r>
      <w:r>
        <w:rPr>
          <w:rFonts w:hint="eastAsia" w:ascii="Times New Roman" w:hAnsi="Times New Roman" w:eastAsia="宋体" w:cs="Times New Roman"/>
          <w:b w:val="0"/>
          <w:bCs w:val="0"/>
          <w:sz w:val="28"/>
          <w:szCs w:val="28"/>
          <w:lang w:val="en-US" w:eastAsia="zh-CN"/>
        </w:rPr>
        <w:t>条：生产经营单位安全总监的任免，应当书面报告负有安全生产监督管理职责的部门和应急管理部门。</w:t>
      </w:r>
    </w:p>
    <w:p>
      <w:pPr>
        <w:adjustRightInd w:val="0"/>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《中华人民共和国安全生产法》（</w:t>
      </w:r>
      <w:r>
        <w:rPr>
          <w:rFonts w:hint="eastAsia"/>
          <w:sz w:val="28"/>
          <w:szCs w:val="28"/>
        </w:rPr>
        <w:t>主席令[20</w:t>
      </w:r>
      <w:r>
        <w:rPr>
          <w:rFonts w:hint="eastAsia"/>
          <w:sz w:val="28"/>
          <w:szCs w:val="28"/>
          <w:lang w:val="en-US" w:eastAsia="zh-CN"/>
        </w:rPr>
        <w:t>21</w:t>
      </w:r>
      <w:r>
        <w:rPr>
          <w:rFonts w:hint="eastAsia"/>
          <w:sz w:val="28"/>
          <w:szCs w:val="28"/>
        </w:rPr>
        <w:t>]第</w:t>
      </w:r>
      <w:r>
        <w:rPr>
          <w:rFonts w:hint="eastAsia"/>
          <w:sz w:val="28"/>
          <w:szCs w:val="28"/>
          <w:lang w:val="en-US" w:eastAsia="zh-CN"/>
        </w:rPr>
        <w:t>88</w:t>
      </w:r>
      <w:r>
        <w:rPr>
          <w:rFonts w:hint="eastAsia"/>
          <w:sz w:val="28"/>
          <w:szCs w:val="28"/>
        </w:rPr>
        <w:t>号</w:t>
      </w:r>
      <w:r>
        <w:rPr>
          <w:rFonts w:hint="eastAsia"/>
          <w:sz w:val="28"/>
          <w:szCs w:val="28"/>
          <w:lang w:val="en-US" w:eastAsia="zh-CN"/>
        </w:rPr>
        <w:t>修订</w:t>
      </w:r>
      <w:r>
        <w:rPr>
          <w:rFonts w:hint="eastAsia" w:ascii="Times New Roman" w:hAnsi="Times New Roman" w:eastAsia="宋体" w:cs="Times New Roman"/>
          <w:sz w:val="28"/>
          <w:szCs w:val="28"/>
        </w:rPr>
        <w:t>）</w:t>
      </w:r>
      <w:bookmarkEnd w:id="27"/>
      <w:r>
        <w:rPr>
          <w:rFonts w:hint="eastAsia" w:ascii="Times New Roman" w:hAnsi="Times New Roman" w:eastAsia="宋体" w:cs="Times New Roman"/>
          <w:sz w:val="28"/>
          <w:szCs w:val="28"/>
        </w:rPr>
        <w:t>第二十七条</w:t>
      </w:r>
      <w:r>
        <w:rPr>
          <w:rFonts w:hint="eastAsia" w:cs="Times New Roman"/>
          <w:sz w:val="28"/>
          <w:szCs w:val="28"/>
          <w:lang w:eastAsia="zh-CN"/>
        </w:rPr>
        <w:t>：</w:t>
      </w:r>
      <w:r>
        <w:rPr>
          <w:rFonts w:hint="eastAsia" w:ascii="Times New Roman" w:hAnsi="Times New Roman" w:eastAsia="宋体" w:cs="Times New Roman"/>
          <w:sz w:val="28"/>
          <w:szCs w:val="28"/>
        </w:rPr>
        <w:t>矿山单位应当有注册安全工程师从事安全生产管理工作。</w:t>
      </w:r>
    </w:p>
    <w:p>
      <w:pPr>
        <w:adjustRightInd w:val="0"/>
        <w:snapToGrid w:val="0"/>
        <w:spacing w:line="360" w:lineRule="auto"/>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《注册安全工程师分类管理办法》（安监总人事</w:t>
      </w:r>
      <w:r>
        <w:rPr>
          <w:rFonts w:hint="eastAsia" w:cs="Times New Roman"/>
          <w:sz w:val="28"/>
          <w:szCs w:val="28"/>
          <w:lang w:val="en-US" w:eastAsia="zh-CN"/>
        </w:rPr>
        <w:t>[</w:t>
      </w:r>
      <w:r>
        <w:rPr>
          <w:rFonts w:hint="eastAsia" w:ascii="Times New Roman" w:hAnsi="Times New Roman" w:eastAsia="宋体" w:cs="Times New Roman"/>
          <w:sz w:val="28"/>
          <w:szCs w:val="28"/>
        </w:rPr>
        <w:t>2017</w:t>
      </w:r>
      <w:r>
        <w:rPr>
          <w:rFonts w:hint="eastAsia" w:cs="Times New Roman"/>
          <w:sz w:val="28"/>
          <w:szCs w:val="28"/>
          <w:lang w:val="en-US" w:eastAsia="zh-CN"/>
        </w:rPr>
        <w:t>]</w:t>
      </w:r>
      <w:r>
        <w:rPr>
          <w:rFonts w:hint="eastAsia" w:ascii="Times New Roman" w:hAnsi="Times New Roman" w:eastAsia="宋体" w:cs="Times New Roman"/>
          <w:sz w:val="28"/>
          <w:szCs w:val="28"/>
        </w:rPr>
        <w:t>118号）第十二条</w:t>
      </w:r>
      <w:r>
        <w:rPr>
          <w:rFonts w:hint="eastAsia" w:cs="Times New Roman"/>
          <w:sz w:val="28"/>
          <w:szCs w:val="28"/>
          <w:lang w:eastAsia="zh-CN"/>
        </w:rPr>
        <w:t>：</w:t>
      </w:r>
      <w:r>
        <w:rPr>
          <w:rFonts w:hint="eastAsia" w:ascii="Times New Roman" w:hAnsi="Times New Roman" w:eastAsia="宋体" w:cs="Times New Roman"/>
          <w:sz w:val="28"/>
          <w:szCs w:val="28"/>
        </w:rPr>
        <w:t>危险物品的生产、储存单位以及矿山、金属冶炼单位应当有相应专业类别的中级及以上注册安全工程师从事安全生产管理工作。</w:t>
      </w:r>
    </w:p>
    <w:p>
      <w:pPr>
        <w:pStyle w:val="18"/>
        <w:keepNext w:val="0"/>
        <w:keepLines w:val="0"/>
        <w:pageBreakBefore w:val="0"/>
        <w:widowControl/>
        <w:kinsoku/>
        <w:wordWrap/>
        <w:overflowPunct/>
        <w:topLinePunct w:val="0"/>
        <w:autoSpaceDE/>
        <w:autoSpaceDN/>
        <w:bidi w:val="0"/>
        <w:adjustRightInd w:val="0"/>
        <w:snapToGrid w:val="0"/>
        <w:ind w:firstLine="560" w:firstLineChars="200"/>
        <w:jc w:val="both"/>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kern w:val="2"/>
          <w:sz w:val="28"/>
          <w:szCs w:val="28"/>
          <w:u w:val="none"/>
          <w:lang w:val="en-US" w:eastAsia="zh-CN" w:bidi="ar-SA"/>
        </w:rPr>
        <w:t>本次评价之前，斯伦贝谢油田技术（山东）有限公司未配备安全总监</w:t>
      </w:r>
      <w:r>
        <w:rPr>
          <w:rFonts w:hint="default" w:ascii="Times New Roman" w:hAnsi="Times New Roman" w:eastAsia="宋体" w:cs="Times New Roman"/>
          <w:kern w:val="2"/>
          <w:sz w:val="28"/>
          <w:szCs w:val="28"/>
          <w:u w:val="none"/>
          <w:lang w:val="en-US" w:eastAsia="zh-CN" w:bidi="ar-SA"/>
        </w:rPr>
        <w:t>与注册安全工程师，现已按要求配备，具体情况如下：</w:t>
      </w:r>
      <w:r>
        <w:rPr>
          <w:rFonts w:hint="default" w:ascii="Times New Roman" w:hAnsi="Times New Roman" w:cs="Times New Roman"/>
          <w:sz w:val="28"/>
          <w:szCs w:val="28"/>
          <w:u w:val="none"/>
          <w:lang w:val="en-US" w:eastAsia="zh-CN"/>
        </w:rPr>
        <w:t>由斯伦贝谢油田技术（山东）有限公司总部斯伦贝谢科技服务（北京）有限公司协调任命张士雄为斯伦贝谢油田技术（山东）有限公司的安全总监，任命自2022年3月1日起执行</w:t>
      </w:r>
      <w:r>
        <w:rPr>
          <w:rFonts w:hint="eastAsia" w:ascii="Times New Roman" w:cs="Times New Roman"/>
          <w:sz w:val="28"/>
          <w:szCs w:val="28"/>
          <w:u w:val="none"/>
          <w:lang w:val="en-US" w:eastAsia="zh-CN"/>
        </w:rPr>
        <w:t>，</w:t>
      </w:r>
      <w:r>
        <w:rPr>
          <w:rFonts w:hint="default" w:ascii="Times New Roman" w:hAnsi="Times New Roman" w:cs="Times New Roman"/>
          <w:sz w:val="28"/>
          <w:szCs w:val="28"/>
          <w:u w:val="none"/>
          <w:lang w:val="en-US" w:eastAsia="zh-CN"/>
        </w:rPr>
        <w:t>详见报告附件6。</w:t>
      </w:r>
      <w:r>
        <w:rPr>
          <w:rFonts w:hint="eastAsia" w:ascii="Times New Roman" w:cs="Times New Roman"/>
          <w:sz w:val="28"/>
          <w:szCs w:val="28"/>
          <w:lang w:val="en-US" w:eastAsia="zh-CN"/>
        </w:rPr>
        <w:t>王天梦</w:t>
      </w:r>
      <w:r>
        <w:rPr>
          <w:rFonts w:hint="default" w:ascii="Times New Roman" w:hAnsi="Times New Roman" w:cs="Times New Roman"/>
          <w:sz w:val="28"/>
          <w:szCs w:val="28"/>
          <w:lang w:val="en-US" w:eastAsia="zh-CN"/>
        </w:rPr>
        <w:t>已于201</w:t>
      </w:r>
      <w:r>
        <w:rPr>
          <w:rFonts w:hint="eastAsia" w:ascii="Times New Roman" w:cs="Times New Roman"/>
          <w:sz w:val="28"/>
          <w:szCs w:val="28"/>
          <w:lang w:val="en-US" w:eastAsia="zh-CN"/>
        </w:rPr>
        <w:t>9</w:t>
      </w:r>
      <w:r>
        <w:rPr>
          <w:rFonts w:hint="default" w:ascii="Times New Roman" w:hAnsi="Times New Roman" w:cs="Times New Roman"/>
          <w:sz w:val="28"/>
          <w:szCs w:val="28"/>
          <w:lang w:val="en-US" w:eastAsia="zh-CN"/>
        </w:rPr>
        <w:t>年1</w:t>
      </w:r>
      <w:r>
        <w:rPr>
          <w:rFonts w:hint="eastAsia" w:ascii="Times New Roman" w:cs="Times New Roman"/>
          <w:sz w:val="28"/>
          <w:szCs w:val="28"/>
          <w:lang w:val="en-US" w:eastAsia="zh-CN"/>
        </w:rPr>
        <w:t>1</w:t>
      </w:r>
      <w:r>
        <w:rPr>
          <w:rFonts w:hint="default" w:ascii="Times New Roman" w:hAnsi="Times New Roman" w:cs="Times New Roman"/>
          <w:sz w:val="28"/>
          <w:szCs w:val="28"/>
          <w:lang w:val="en-US" w:eastAsia="zh-CN"/>
        </w:rPr>
        <w:t>月取得注册安全工程师证书（注册类别为其他安全，有效期至202</w:t>
      </w:r>
      <w:r>
        <w:rPr>
          <w:rFonts w:hint="eastAsia" w:ascii="Times New Roman" w:cs="Times New Roman"/>
          <w:sz w:val="28"/>
          <w:szCs w:val="28"/>
          <w:lang w:val="en-US" w:eastAsia="zh-CN"/>
        </w:rPr>
        <w:t>6</w:t>
      </w:r>
      <w:r>
        <w:rPr>
          <w:rFonts w:hint="default" w:ascii="Times New Roman" w:hAnsi="Times New Roman" w:cs="Times New Roman"/>
          <w:sz w:val="28"/>
          <w:szCs w:val="28"/>
          <w:lang w:val="en-US" w:eastAsia="zh-CN"/>
        </w:rPr>
        <w:t>年</w:t>
      </w:r>
      <w:r>
        <w:rPr>
          <w:rFonts w:hint="eastAsia" w:ascii="Times New Roman" w:cs="Times New Roman"/>
          <w:sz w:val="28"/>
          <w:szCs w:val="28"/>
          <w:lang w:val="en-US" w:eastAsia="zh-CN"/>
        </w:rPr>
        <w:t>4</w:t>
      </w:r>
      <w:r>
        <w:rPr>
          <w:rFonts w:hint="default" w:ascii="Times New Roman" w:hAnsi="Times New Roman" w:cs="Times New Roman"/>
          <w:sz w:val="28"/>
          <w:szCs w:val="28"/>
          <w:lang w:val="en-US" w:eastAsia="zh-CN"/>
        </w:rPr>
        <w:t>月</w:t>
      </w:r>
      <w:r>
        <w:rPr>
          <w:rFonts w:hint="eastAsia" w:ascii="Times New Roman" w:cs="Times New Roman"/>
          <w:sz w:val="28"/>
          <w:szCs w:val="28"/>
          <w:lang w:val="en-US" w:eastAsia="zh-CN"/>
        </w:rPr>
        <w:t>2</w:t>
      </w:r>
      <w:r>
        <w:rPr>
          <w:rFonts w:hint="default" w:ascii="Times New Roman" w:hAnsi="Times New Roman" w:cs="Times New Roman"/>
          <w:sz w:val="28"/>
          <w:szCs w:val="28"/>
          <w:lang w:val="en-US" w:eastAsia="zh-CN"/>
        </w:rPr>
        <w:t>8日），已在本行业领域内从事安全管理工作3年以上，详见报告</w:t>
      </w:r>
      <w:r>
        <w:rPr>
          <w:rFonts w:hint="eastAsia" w:ascii="Times New Roman" w:cs="Times New Roman"/>
          <w:sz w:val="28"/>
          <w:szCs w:val="28"/>
          <w:lang w:val="en-US" w:eastAsia="zh-CN"/>
        </w:rPr>
        <w:t>附件8</w:t>
      </w:r>
      <w:r>
        <w:rPr>
          <w:rFonts w:hint="default" w:ascii="Times New Roman" w:hAnsi="Times New Roman" w:cs="Times New Roman"/>
          <w:sz w:val="28"/>
          <w:szCs w:val="28"/>
          <w:lang w:val="en-US" w:eastAsia="zh-CN"/>
        </w:rPr>
        <w:t>。</w:t>
      </w:r>
    </w:p>
    <w:p>
      <w:pPr>
        <w:adjustRightInd w:val="0"/>
        <w:snapToGrid w:val="0"/>
        <w:spacing w:line="360" w:lineRule="auto"/>
        <w:ind w:firstLine="560" w:firstLineChars="200"/>
        <w:rPr>
          <w:rFonts w:hint="default" w:ascii="Times New Roman" w:hAnsi="Times New Roman" w:cs="Times New Roman"/>
          <w:b w:val="0"/>
          <w:bCs w:val="0"/>
          <w:sz w:val="28"/>
          <w:szCs w:val="28"/>
          <w:u w:val="none"/>
          <w:lang w:val="en-US"/>
        </w:rPr>
      </w:pPr>
      <w:r>
        <w:rPr>
          <w:rFonts w:hint="eastAsia" w:ascii="Times New Roman" w:hAnsi="Times New Roman" w:eastAsia="宋体" w:cs="Times New Roman"/>
          <w:b w:val="0"/>
          <w:bCs w:val="0"/>
          <w:kern w:val="2"/>
          <w:sz w:val="28"/>
          <w:szCs w:val="28"/>
          <w:u w:val="none"/>
          <w:lang w:val="en-US" w:eastAsia="zh-CN" w:bidi="ar-SA"/>
        </w:rPr>
        <w:t>斯伦贝谢油田技术（山东）有限公司</w:t>
      </w:r>
      <w:r>
        <w:rPr>
          <w:rFonts w:hint="eastAsia" w:cs="Times New Roman"/>
          <w:b w:val="0"/>
          <w:bCs w:val="0"/>
          <w:kern w:val="2"/>
          <w:sz w:val="28"/>
          <w:szCs w:val="28"/>
          <w:u w:val="none"/>
          <w:lang w:val="en-US" w:eastAsia="zh-CN" w:bidi="ar-SA"/>
        </w:rPr>
        <w:t>已到东营经济技术开发区应急管理部咨询，待企业取得安全生产许可证之后办理安全总监的备案手续，详见附件6。</w:t>
      </w:r>
    </w:p>
    <w:p>
      <w:pPr>
        <w:adjustRightInd w:val="0"/>
        <w:snapToGrid w:val="0"/>
        <w:spacing w:line="360" w:lineRule="auto"/>
        <w:ind w:firstLine="560" w:firstLineChars="200"/>
        <w:rPr>
          <w:sz w:val="28"/>
          <w:szCs w:val="28"/>
        </w:rPr>
      </w:pPr>
      <w:r>
        <w:rPr>
          <w:rFonts w:hint="default" w:ascii="Times New Roman" w:hAnsi="Times New Roman" w:cs="Times New Roman"/>
          <w:sz w:val="28"/>
          <w:szCs w:val="28"/>
        </w:rPr>
        <w:t>综上，该公司安全生产管理机构的设置</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安全</w:t>
      </w:r>
      <w:r>
        <w:rPr>
          <w:rFonts w:hint="eastAsia"/>
          <w:sz w:val="28"/>
          <w:szCs w:val="28"/>
          <w:lang w:val="en-US" w:eastAsia="zh-CN"/>
        </w:rPr>
        <w:t>总监与</w:t>
      </w:r>
      <w:r>
        <w:rPr>
          <w:rFonts w:hint="eastAsia"/>
          <w:sz w:val="28"/>
          <w:szCs w:val="28"/>
        </w:rPr>
        <w:t>专职安全生产管理人员（</w:t>
      </w:r>
      <w:r>
        <w:rPr>
          <w:rFonts w:hint="eastAsia"/>
          <w:sz w:val="28"/>
          <w:szCs w:val="28"/>
          <w:lang w:val="en-US" w:eastAsia="zh-CN"/>
        </w:rPr>
        <w:t>3</w:t>
      </w:r>
      <w:r>
        <w:rPr>
          <w:rFonts w:hint="eastAsia"/>
          <w:sz w:val="28"/>
          <w:szCs w:val="28"/>
        </w:rPr>
        <w:t>名）</w:t>
      </w:r>
      <w:r>
        <w:rPr>
          <w:rFonts w:hint="eastAsia"/>
          <w:sz w:val="28"/>
          <w:szCs w:val="28"/>
          <w:lang w:val="en-US" w:eastAsia="zh-CN"/>
        </w:rPr>
        <w:t>与注册安全工程师</w:t>
      </w:r>
      <w:r>
        <w:rPr>
          <w:rFonts w:hint="eastAsia"/>
          <w:sz w:val="28"/>
          <w:szCs w:val="28"/>
        </w:rPr>
        <w:t>的配备情况符合相关要求。</w:t>
      </w:r>
    </w:p>
    <w:p>
      <w:pPr>
        <w:pStyle w:val="4"/>
        <w:adjustRightInd w:val="0"/>
        <w:snapToGrid w:val="0"/>
        <w:spacing w:before="0" w:after="0" w:line="360" w:lineRule="auto"/>
        <w:rPr>
          <w:rFonts w:ascii="Times New Roman" w:hAnsi="Times New Roman"/>
          <w:b w:val="0"/>
          <w:bCs/>
          <w:szCs w:val="32"/>
        </w:rPr>
      </w:pPr>
      <w:bookmarkStart w:id="28" w:name="_Toc2086"/>
      <w:r>
        <w:rPr>
          <w:rFonts w:hint="eastAsia" w:ascii="Times New Roman" w:hAnsi="Times New Roman"/>
          <w:b w:val="0"/>
          <w:bCs/>
          <w:szCs w:val="32"/>
        </w:rPr>
        <w:t>2.</w:t>
      </w:r>
      <w:r>
        <w:rPr>
          <w:rFonts w:ascii="Times New Roman" w:hAnsi="Times New Roman"/>
          <w:b w:val="0"/>
          <w:bCs/>
          <w:szCs w:val="32"/>
        </w:rPr>
        <w:t xml:space="preserve">5 </w:t>
      </w:r>
      <w:r>
        <w:rPr>
          <w:rFonts w:hint="eastAsia" w:ascii="Times New Roman" w:hAnsi="Times New Roman"/>
          <w:b w:val="0"/>
          <w:bCs/>
          <w:szCs w:val="32"/>
        </w:rPr>
        <w:t>安全生产规章制度及操作规程</w:t>
      </w:r>
      <w:bookmarkEnd w:id="28"/>
    </w:p>
    <w:p>
      <w:pPr>
        <w:adjustRightInd w:val="0"/>
        <w:snapToGrid w:val="0"/>
        <w:spacing w:line="360" w:lineRule="auto"/>
        <w:ind w:firstLine="560" w:firstLineChars="200"/>
        <w:rPr>
          <w:sz w:val="28"/>
        </w:rPr>
      </w:pPr>
      <w:r>
        <w:rPr>
          <w:rFonts w:hint="eastAsia"/>
          <w:sz w:val="28"/>
          <w:lang w:val="en-US" w:eastAsia="zh-CN"/>
        </w:rPr>
        <w:t>该</w:t>
      </w:r>
      <w:r>
        <w:rPr>
          <w:rFonts w:hint="eastAsia"/>
          <w:sz w:val="28"/>
        </w:rPr>
        <w:t>公司自成立以来，建立健全了以安全生产责任制为主要内容的各项安全管理制度，根据本单位</w:t>
      </w:r>
      <w:r>
        <w:rPr>
          <w:rFonts w:hint="eastAsia"/>
          <w:sz w:val="28"/>
          <w:lang w:val="en-US" w:eastAsia="zh-CN"/>
        </w:rPr>
        <w:t>项目</w:t>
      </w:r>
      <w:r>
        <w:rPr>
          <w:rFonts w:hint="eastAsia"/>
          <w:sz w:val="28"/>
        </w:rPr>
        <w:t>施工工艺、设备和岗位特点制定了各岗位安全操作规程，并汇编成册。</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2.</w:t>
      </w:r>
      <w:r>
        <w:rPr>
          <w:rFonts w:eastAsia="黑体"/>
          <w:b w:val="0"/>
          <w:snapToGrid w:val="0"/>
          <w:kern w:val="0"/>
          <w:sz w:val="28"/>
          <w:szCs w:val="28"/>
        </w:rPr>
        <w:t>5</w:t>
      </w:r>
      <w:r>
        <w:rPr>
          <w:rFonts w:hint="eastAsia" w:eastAsia="黑体"/>
          <w:b w:val="0"/>
          <w:snapToGrid w:val="0"/>
          <w:kern w:val="0"/>
          <w:sz w:val="28"/>
          <w:szCs w:val="28"/>
        </w:rPr>
        <w:t>.</w:t>
      </w:r>
      <w:r>
        <w:rPr>
          <w:rFonts w:eastAsia="黑体"/>
          <w:b w:val="0"/>
          <w:snapToGrid w:val="0"/>
          <w:kern w:val="0"/>
          <w:sz w:val="28"/>
          <w:szCs w:val="28"/>
        </w:rPr>
        <w:t xml:space="preserve">1 </w:t>
      </w:r>
      <w:r>
        <w:rPr>
          <w:rFonts w:hint="eastAsia" w:eastAsia="黑体"/>
          <w:b w:val="0"/>
          <w:snapToGrid w:val="0"/>
          <w:kern w:val="0"/>
          <w:sz w:val="28"/>
          <w:szCs w:val="28"/>
        </w:rPr>
        <w:t>安全生产责任制</w:t>
      </w:r>
    </w:p>
    <w:p>
      <w:pPr>
        <w:tabs>
          <w:tab w:val="left" w:pos="0"/>
        </w:tabs>
        <w:adjustRightInd w:val="0"/>
        <w:snapToGrid w:val="0"/>
        <w:spacing w:line="360" w:lineRule="auto"/>
        <w:ind w:firstLine="560" w:firstLineChars="200"/>
        <w:rPr>
          <w:rFonts w:hint="eastAsia" w:eastAsia="宋体"/>
          <w:sz w:val="28"/>
          <w:szCs w:val="28"/>
          <w:lang w:eastAsia="zh-CN"/>
        </w:rPr>
      </w:pPr>
      <w:r>
        <w:rPr>
          <w:rFonts w:hint="eastAsia"/>
          <w:sz w:val="28"/>
          <w:szCs w:val="28"/>
        </w:rPr>
        <w:t>安全生产责任制是根据我国的安全生产方针</w:t>
      </w:r>
      <w:r>
        <w:rPr>
          <w:rFonts w:hint="eastAsia"/>
          <w:sz w:val="28"/>
          <w:szCs w:val="28"/>
          <w:lang w:eastAsia="zh-CN"/>
        </w:rPr>
        <w:t>“</w:t>
      </w:r>
      <w:r>
        <w:rPr>
          <w:rFonts w:hint="eastAsia"/>
          <w:sz w:val="28"/>
          <w:szCs w:val="28"/>
        </w:rPr>
        <w:t>安全第一，预防为主，综合治理</w:t>
      </w:r>
      <w:r>
        <w:rPr>
          <w:rFonts w:hint="eastAsia"/>
          <w:sz w:val="28"/>
          <w:szCs w:val="28"/>
          <w:lang w:eastAsia="zh-CN"/>
        </w:rPr>
        <w:t>”</w:t>
      </w:r>
      <w:r>
        <w:rPr>
          <w:rFonts w:hint="eastAsia"/>
          <w:sz w:val="28"/>
          <w:szCs w:val="28"/>
        </w:rPr>
        <w:t>和安全生产法规建立的各级领导、职能部门、工程技术人员、岗位操作人员在劳动生产过程中对安全生产层层负责的制度。安全生产责任制是企业岗位责任制的一个组成部分，是企业中最基本的一项安全制度，也是企业安全生产、劳动保护管理制度的核心。该公司已经建立的安全生产责任制主要包括</w:t>
      </w:r>
      <w:r>
        <w:rPr>
          <w:rFonts w:hint="eastAsia"/>
          <w:sz w:val="28"/>
          <w:szCs w:val="28"/>
          <w:lang w:eastAsia="zh-CN"/>
        </w:rPr>
        <w:t>：</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sz w:val="28"/>
          <w:szCs w:val="28"/>
          <w:u w:val="none"/>
        </w:rPr>
      </w:pPr>
      <w:r>
        <w:rPr>
          <w:rFonts w:hint="eastAsia"/>
          <w:sz w:val="28"/>
          <w:szCs w:val="28"/>
          <w:u w:val="none"/>
        </w:rPr>
        <w:t>（1）</w:t>
      </w:r>
      <w:r>
        <w:rPr>
          <w:rFonts w:hint="eastAsia"/>
          <w:sz w:val="28"/>
          <w:szCs w:val="28"/>
          <w:u w:val="none"/>
          <w:lang w:val="en-US" w:eastAsia="zh-CN"/>
        </w:rPr>
        <w:t>公司董事长/总经理HSE职责</w:t>
      </w:r>
      <w:r>
        <w:rPr>
          <w:rFonts w:hint="eastAsia"/>
          <w:sz w:val="28"/>
          <w:szCs w:val="28"/>
          <w:u w:val="none"/>
        </w:rPr>
        <w:tab/>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sz w:val="28"/>
          <w:szCs w:val="28"/>
        </w:rPr>
      </w:pPr>
      <w:r>
        <w:rPr>
          <w:rFonts w:hint="eastAsia"/>
          <w:sz w:val="28"/>
          <w:szCs w:val="28"/>
        </w:rPr>
        <w:t>（2）</w:t>
      </w:r>
      <w:r>
        <w:rPr>
          <w:rFonts w:hint="eastAsia"/>
          <w:sz w:val="28"/>
          <w:szCs w:val="28"/>
          <w:lang w:val="en-US" w:eastAsia="zh-CN"/>
        </w:rPr>
        <w:t>分管安全副总HSE职责</w:t>
      </w:r>
      <w:r>
        <w:rPr>
          <w:rFonts w:hint="eastAsia"/>
          <w:sz w:val="28"/>
          <w:szCs w:val="28"/>
        </w:rPr>
        <w:tab/>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sz w:val="28"/>
          <w:szCs w:val="28"/>
        </w:rPr>
      </w:pPr>
      <w:r>
        <w:rPr>
          <w:rFonts w:hint="eastAsia"/>
          <w:sz w:val="28"/>
          <w:szCs w:val="28"/>
        </w:rPr>
        <w:t>（3）</w:t>
      </w:r>
      <w:r>
        <w:rPr>
          <w:rFonts w:hint="eastAsia"/>
          <w:sz w:val="28"/>
          <w:szCs w:val="28"/>
          <w:lang w:val="en-US" w:eastAsia="zh-CN"/>
        </w:rPr>
        <w:t>安全生产管理委员会HSE职责</w:t>
      </w:r>
      <w:r>
        <w:rPr>
          <w:rFonts w:hint="eastAsia"/>
          <w:sz w:val="28"/>
          <w:szCs w:val="28"/>
        </w:rPr>
        <w:tab/>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eastAsia="宋体"/>
          <w:sz w:val="28"/>
          <w:szCs w:val="28"/>
          <w:lang w:val="en-US" w:eastAsia="zh-CN"/>
        </w:rPr>
      </w:pPr>
      <w:r>
        <w:rPr>
          <w:rFonts w:hint="eastAsia"/>
          <w:sz w:val="28"/>
          <w:szCs w:val="28"/>
        </w:rPr>
        <w:t>（4）</w:t>
      </w:r>
      <w:r>
        <w:rPr>
          <w:rFonts w:hint="eastAsia"/>
          <w:sz w:val="28"/>
          <w:szCs w:val="28"/>
          <w:lang w:val="en-US" w:eastAsia="zh-CN"/>
        </w:rPr>
        <w:t>技术支持/作业支持副总经理HSE职责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eastAsia="宋体"/>
          <w:sz w:val="28"/>
          <w:szCs w:val="28"/>
          <w:lang w:val="en-US" w:eastAsia="zh-CN"/>
        </w:rPr>
      </w:pPr>
      <w:r>
        <w:rPr>
          <w:rFonts w:hint="eastAsia"/>
          <w:sz w:val="28"/>
          <w:szCs w:val="28"/>
        </w:rPr>
        <w:t>（5）</w:t>
      </w:r>
      <w:r>
        <w:rPr>
          <w:rFonts w:hint="eastAsia"/>
          <w:sz w:val="28"/>
          <w:szCs w:val="28"/>
          <w:lang w:val="en-US" w:eastAsia="zh-CN"/>
        </w:rPr>
        <w:t>市场副总HSE职责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color w:val="auto"/>
          <w:sz w:val="28"/>
          <w:szCs w:val="28"/>
        </w:rPr>
      </w:pPr>
      <w:r>
        <w:rPr>
          <w:rFonts w:hint="eastAsia"/>
          <w:color w:val="auto"/>
          <w:sz w:val="28"/>
          <w:szCs w:val="28"/>
        </w:rPr>
        <w:t>（6）</w:t>
      </w:r>
      <w:r>
        <w:rPr>
          <w:rFonts w:hint="eastAsia"/>
          <w:color w:val="auto"/>
          <w:sz w:val="28"/>
          <w:szCs w:val="28"/>
          <w:lang w:val="en-US" w:eastAsia="zh-CN"/>
        </w:rPr>
        <w:t>安全总监HSE职责</w:t>
      </w:r>
      <w:r>
        <w:rPr>
          <w:rFonts w:hint="eastAsia"/>
          <w:color w:val="auto"/>
          <w:sz w:val="28"/>
          <w:szCs w:val="28"/>
        </w:rPr>
        <w:tab/>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eastAsia="宋体"/>
          <w:sz w:val="28"/>
          <w:szCs w:val="28"/>
          <w:u w:val="none"/>
          <w:lang w:val="en-US" w:eastAsia="zh-CN"/>
        </w:rPr>
      </w:pPr>
      <w:r>
        <w:rPr>
          <w:rFonts w:hint="eastAsia"/>
          <w:sz w:val="28"/>
          <w:szCs w:val="28"/>
          <w:u w:val="none"/>
        </w:rPr>
        <w:t>（7）</w:t>
      </w:r>
      <w:r>
        <w:rPr>
          <w:rFonts w:hint="eastAsia"/>
          <w:sz w:val="28"/>
          <w:szCs w:val="28"/>
          <w:u w:val="none"/>
          <w:lang w:val="en-US" w:eastAsia="zh-CN"/>
        </w:rPr>
        <w:t>安全部HSE职责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rPr>
      </w:pPr>
      <w:r>
        <w:rPr>
          <w:rFonts w:hint="eastAsia"/>
          <w:sz w:val="28"/>
          <w:szCs w:val="28"/>
        </w:rPr>
        <w:t>（</w:t>
      </w:r>
      <w:r>
        <w:rPr>
          <w:sz w:val="28"/>
          <w:szCs w:val="28"/>
        </w:rPr>
        <w:t>8</w:t>
      </w:r>
      <w:r>
        <w:rPr>
          <w:rFonts w:hint="eastAsia"/>
          <w:sz w:val="28"/>
          <w:szCs w:val="28"/>
        </w:rPr>
        <w:t>）</w:t>
      </w:r>
      <w:r>
        <w:rPr>
          <w:rFonts w:hint="eastAsia"/>
          <w:sz w:val="28"/>
          <w:szCs w:val="28"/>
          <w:lang w:val="en-US" w:eastAsia="zh-CN"/>
        </w:rPr>
        <w:t>安全部经理HSE</w:t>
      </w:r>
      <w:r>
        <w:rPr>
          <w:rFonts w:hint="eastAsia"/>
          <w:sz w:val="28"/>
          <w:szCs w:val="28"/>
        </w:rPr>
        <w:t>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u w:val="none"/>
          <w:lang w:val="en-US" w:eastAsia="zh-CN"/>
        </w:rPr>
      </w:pPr>
      <w:r>
        <w:rPr>
          <w:rFonts w:hint="eastAsia"/>
          <w:sz w:val="28"/>
          <w:szCs w:val="28"/>
          <w:u w:val="none"/>
          <w:lang w:eastAsia="zh-CN"/>
        </w:rPr>
        <w:t>（</w:t>
      </w:r>
      <w:r>
        <w:rPr>
          <w:rFonts w:hint="eastAsia"/>
          <w:sz w:val="28"/>
          <w:szCs w:val="28"/>
          <w:u w:val="none"/>
          <w:lang w:val="en-US" w:eastAsia="zh-CN"/>
        </w:rPr>
        <w:t>9）安全员HSE职责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（10）作业部HSE职责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（11）作业部经理HSE职责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（12）作业部维修车间HSE职责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（13）作业维修车间主管HSE职责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（14）电子维修、机械维修技术员HSE职责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（15）仪器主管HSE职责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（16）仪器准备员HSE职责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default"/>
          <w:sz w:val="28"/>
          <w:szCs w:val="28"/>
          <w:lang w:val="en-US" w:eastAsia="zh-CN"/>
        </w:rPr>
      </w:pPr>
      <w:r>
        <w:rPr>
          <w:rFonts w:hint="eastAsia"/>
          <w:sz w:val="28"/>
          <w:szCs w:val="28"/>
          <w:lang w:val="en-US" w:eastAsia="zh-CN"/>
        </w:rPr>
        <w:t>（17）项目部HSE职责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（18）项目经理HSE职责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eastAsia="zh-CN"/>
        </w:rPr>
        <w:t>（</w:t>
      </w:r>
      <w:r>
        <w:rPr>
          <w:rFonts w:hint="eastAsia"/>
          <w:sz w:val="28"/>
          <w:szCs w:val="28"/>
          <w:lang w:val="en-US" w:eastAsia="zh-CN"/>
        </w:rPr>
        <w:t>19）项目副经理HSE职责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（20）仪器/工程施工人员HSE职责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（21）仪器制造部HSE职责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（22）仪器制造部经理HSE职责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（23）科研部HSE职责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（24）科研部经理HSE职责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（25）机械、软件、电子、测试工程师及单片机开发的HSE职责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（26）生产部HSE职责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（27）生产部经理HSE职责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（28）机加工/电子车间主管HSE职责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（29）机床操作工HSE职责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（30）电子组装HSE职责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（31）质检员HSE职责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（32）库房HSE职责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（33）库房主管HSE职责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（34）仓库管理员HSE职责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（35）财务部HSE职责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（36）财务部经理HSE职责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（37）会计HSE职责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（38）采购部HSE职责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（39）采购部经理HSE职责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（40）人事部HSE职责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（41）人事部经理HSE职责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eastAsia="zh-CN"/>
        </w:rPr>
        <w:t>（</w:t>
      </w:r>
      <w:r>
        <w:rPr>
          <w:rFonts w:hint="eastAsia"/>
          <w:sz w:val="28"/>
          <w:szCs w:val="28"/>
          <w:lang w:val="en-US" w:eastAsia="zh-CN"/>
        </w:rPr>
        <w:t>42）行政部HSE职责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（43）行政部经理HSE职责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（44）司机HSE职责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（45）IT岗位HSE职责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（46）门卫HSE职责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（47）市场/销售部HSE职责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（48）市场/销售部经理HSE职责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（49）文员HSE职责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rFonts w:hint="eastAsia"/>
          <w:sz w:val="28"/>
          <w:szCs w:val="28"/>
          <w:lang w:val="en-US" w:eastAsia="zh-CN"/>
        </w:rPr>
      </w:pPr>
      <w:r>
        <w:rPr>
          <w:rFonts w:hint="eastAsia"/>
          <w:sz w:val="28"/>
          <w:szCs w:val="28"/>
          <w:lang w:val="en-US" w:eastAsia="zh-CN"/>
        </w:rPr>
        <w:t>（50）保洁人员HSE职责</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560" w:firstLineChars="200"/>
        <w:textAlignment w:val="auto"/>
        <w:rPr>
          <w:sz w:val="28"/>
          <w:szCs w:val="28"/>
        </w:rPr>
      </w:pPr>
      <w:r>
        <w:rPr>
          <w:rFonts w:hint="eastAsia"/>
          <w:sz w:val="28"/>
          <w:szCs w:val="28"/>
          <w:lang w:val="en-US" w:eastAsia="zh-CN"/>
        </w:rPr>
        <w:t>（51）厨师/帮厨HSE职责</w:t>
      </w:r>
      <w:r>
        <w:rPr>
          <w:rFonts w:hint="eastAsia"/>
          <w:sz w:val="28"/>
          <w:szCs w:val="28"/>
        </w:rPr>
        <w:tab/>
      </w:r>
    </w:p>
    <w:p>
      <w:pPr>
        <w:pStyle w:val="125"/>
        <w:adjustRightInd w:val="0"/>
        <w:snapToGrid w:val="0"/>
        <w:spacing w:line="360" w:lineRule="auto"/>
        <w:ind w:firstLine="560"/>
        <w:rPr>
          <w:rFonts w:hint="eastAsia"/>
          <w:sz w:val="28"/>
          <w:szCs w:val="28"/>
        </w:rPr>
      </w:pPr>
      <w:r>
        <w:rPr>
          <w:rFonts w:hint="eastAsia"/>
          <w:sz w:val="28"/>
          <w:szCs w:val="28"/>
        </w:rPr>
        <w:t>该公司已经建立</w:t>
      </w:r>
      <w:r>
        <w:rPr>
          <w:rFonts w:hint="eastAsia"/>
          <w:color w:val="auto"/>
          <w:sz w:val="28"/>
          <w:szCs w:val="28"/>
        </w:rPr>
        <w:t>了从</w:t>
      </w:r>
      <w:r>
        <w:rPr>
          <w:rFonts w:hint="eastAsia"/>
          <w:color w:val="auto"/>
          <w:sz w:val="28"/>
          <w:szCs w:val="28"/>
          <w:lang w:val="en-US" w:eastAsia="zh-CN"/>
        </w:rPr>
        <w:t>董事长/总</w:t>
      </w:r>
      <w:r>
        <w:rPr>
          <w:rFonts w:hint="eastAsia"/>
          <w:color w:val="auto"/>
          <w:sz w:val="28"/>
          <w:szCs w:val="28"/>
        </w:rPr>
        <w:t>经理到</w:t>
      </w:r>
      <w:r>
        <w:rPr>
          <w:rFonts w:hint="eastAsia"/>
          <w:color w:val="auto"/>
          <w:sz w:val="28"/>
          <w:szCs w:val="28"/>
          <w:lang w:val="en-US" w:eastAsia="zh-CN"/>
        </w:rPr>
        <w:t>文员等</w:t>
      </w:r>
      <w:r>
        <w:rPr>
          <w:rFonts w:hint="eastAsia"/>
          <w:color w:val="auto"/>
          <w:sz w:val="28"/>
          <w:szCs w:val="28"/>
        </w:rPr>
        <w:t>一般员工的安全生产责任制以及各部门的安全职责，符合</w:t>
      </w:r>
      <w:r>
        <w:rPr>
          <w:rFonts w:hint="default" w:ascii="Times New Roman" w:hAnsi="Times New Roman" w:cs="Times New Roman"/>
          <w:color w:val="auto"/>
          <w:sz w:val="28"/>
          <w:szCs w:val="28"/>
          <w:highlight w:val="none"/>
        </w:rPr>
        <w:t>《中华人民共和国安全生产法》（</w:t>
      </w:r>
      <w:r>
        <w:rPr>
          <w:rFonts w:hint="eastAsia"/>
          <w:b w:val="0"/>
          <w:bCs w:val="0"/>
          <w:color w:val="auto"/>
          <w:sz w:val="28"/>
          <w:szCs w:val="28"/>
        </w:rPr>
        <w:t>主席令</w:t>
      </w:r>
      <w:r>
        <w:rPr>
          <w:rFonts w:hint="eastAsia"/>
          <w:b w:val="0"/>
          <w:bCs w:val="0"/>
          <w:color w:val="auto"/>
          <w:sz w:val="28"/>
          <w:szCs w:val="28"/>
          <w:lang w:val="en-US" w:eastAsia="zh-CN"/>
        </w:rPr>
        <w:t>[2002]第70号，经第13号，</w:t>
      </w:r>
      <w:r>
        <w:rPr>
          <w:rFonts w:hint="eastAsia"/>
          <w:b w:val="0"/>
          <w:bCs w:val="0"/>
          <w:color w:val="auto"/>
          <w:sz w:val="28"/>
          <w:szCs w:val="28"/>
        </w:rPr>
        <w:t>第</w:t>
      </w:r>
      <w:r>
        <w:rPr>
          <w:rFonts w:hint="eastAsia"/>
          <w:b w:val="0"/>
          <w:bCs w:val="0"/>
          <w:color w:val="auto"/>
          <w:sz w:val="28"/>
          <w:szCs w:val="28"/>
          <w:lang w:val="en-US" w:eastAsia="zh-CN"/>
        </w:rPr>
        <w:t>88</w:t>
      </w:r>
      <w:r>
        <w:rPr>
          <w:rFonts w:hint="eastAsia"/>
          <w:b w:val="0"/>
          <w:bCs w:val="0"/>
          <w:color w:val="auto"/>
          <w:sz w:val="28"/>
          <w:szCs w:val="28"/>
        </w:rPr>
        <w:t>号</w:t>
      </w:r>
      <w:r>
        <w:rPr>
          <w:rFonts w:hint="eastAsia"/>
          <w:b w:val="0"/>
          <w:bCs w:val="0"/>
          <w:color w:val="auto"/>
          <w:sz w:val="28"/>
          <w:szCs w:val="28"/>
          <w:lang w:val="en-US" w:eastAsia="zh-CN"/>
        </w:rPr>
        <w:t>修订</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第二十二条</w:t>
      </w:r>
      <w:r>
        <w:rPr>
          <w:rFonts w:hint="eastAsia" w:cs="Times New Roman"/>
          <w:color w:val="auto"/>
          <w:sz w:val="28"/>
          <w:szCs w:val="28"/>
          <w:highlight w:val="none"/>
          <w:lang w:eastAsia="zh-CN"/>
        </w:rPr>
        <w:t>、</w:t>
      </w:r>
      <w:r>
        <w:rPr>
          <w:rFonts w:hint="eastAsia"/>
          <w:color w:val="auto"/>
          <w:sz w:val="28"/>
          <w:szCs w:val="28"/>
          <w:lang w:val="en-US" w:eastAsia="zh-CN"/>
        </w:rPr>
        <w:t>《山东省安全生产条例》（2021年12月3日山东省第十三届人民代表大会常务委员会第三十二次会议修订）第十六条、</w:t>
      </w:r>
      <w:r>
        <w:rPr>
          <w:rFonts w:hint="eastAsia"/>
          <w:color w:val="auto"/>
          <w:sz w:val="28"/>
          <w:szCs w:val="28"/>
        </w:rPr>
        <w:t>《山东省生产经营单位安全生产主体责任规定》（</w:t>
      </w:r>
      <w:r>
        <w:rPr>
          <w:rFonts w:hint="eastAsia"/>
          <w:sz w:val="28"/>
        </w:rPr>
        <w:t>山东省人民政府令</w:t>
      </w:r>
      <w:r>
        <w:rPr>
          <w:rFonts w:hint="eastAsia"/>
          <w:sz w:val="28"/>
          <w:lang w:val="en-US" w:eastAsia="zh-CN"/>
        </w:rPr>
        <w:t>第260号，经第303号、</w:t>
      </w:r>
      <w:r>
        <w:rPr>
          <w:rFonts w:hint="eastAsia"/>
          <w:sz w:val="28"/>
        </w:rPr>
        <w:t>第311号修订</w:t>
      </w:r>
      <w:r>
        <w:rPr>
          <w:rFonts w:hint="eastAsia"/>
          <w:color w:val="auto"/>
          <w:sz w:val="28"/>
          <w:szCs w:val="28"/>
        </w:rPr>
        <w:t>）中第六条</w:t>
      </w:r>
      <w:r>
        <w:rPr>
          <w:rFonts w:hint="eastAsia"/>
          <w:color w:val="auto"/>
          <w:sz w:val="28"/>
          <w:szCs w:val="28"/>
          <w:lang w:eastAsia="zh-CN"/>
        </w:rPr>
        <w:t>、</w:t>
      </w:r>
      <w:r>
        <w:rPr>
          <w:rFonts w:hint="eastAsia"/>
          <w:color w:val="auto"/>
          <w:sz w:val="28"/>
          <w:szCs w:val="28"/>
          <w:lang w:val="en-US" w:eastAsia="zh-CN"/>
        </w:rPr>
        <w:t>《关于印发山东省生产经营单位全员安全生产责任清单的通知》《鲁安办发[2021]50号》的要求</w:t>
      </w:r>
      <w:r>
        <w:rPr>
          <w:rFonts w:hint="eastAsia"/>
          <w:sz w:val="28"/>
          <w:szCs w:val="28"/>
          <w:lang w:val="en-US" w:eastAsia="zh-CN"/>
        </w:rPr>
        <w:t>，</w:t>
      </w:r>
      <w:r>
        <w:rPr>
          <w:rFonts w:hint="eastAsia"/>
          <w:sz w:val="28"/>
          <w:szCs w:val="28"/>
        </w:rPr>
        <w:t>建议企业根据相关规范定期进行修订、完善。</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2.</w:t>
      </w:r>
      <w:r>
        <w:rPr>
          <w:rFonts w:eastAsia="黑体"/>
          <w:b w:val="0"/>
          <w:snapToGrid w:val="0"/>
          <w:kern w:val="0"/>
          <w:sz w:val="28"/>
          <w:szCs w:val="28"/>
        </w:rPr>
        <w:t>5</w:t>
      </w:r>
      <w:r>
        <w:rPr>
          <w:rFonts w:hint="eastAsia" w:eastAsia="黑体"/>
          <w:b w:val="0"/>
          <w:snapToGrid w:val="0"/>
          <w:kern w:val="0"/>
          <w:sz w:val="28"/>
          <w:szCs w:val="28"/>
        </w:rPr>
        <w:t>.</w:t>
      </w:r>
      <w:r>
        <w:rPr>
          <w:rFonts w:eastAsia="黑体"/>
          <w:b w:val="0"/>
          <w:snapToGrid w:val="0"/>
          <w:kern w:val="0"/>
          <w:sz w:val="28"/>
          <w:szCs w:val="28"/>
        </w:rPr>
        <w:t xml:space="preserve">2 </w:t>
      </w:r>
      <w:r>
        <w:rPr>
          <w:rFonts w:hint="eastAsia" w:eastAsia="黑体"/>
          <w:b w:val="0"/>
          <w:snapToGrid w:val="0"/>
          <w:kern w:val="0"/>
          <w:sz w:val="28"/>
          <w:szCs w:val="28"/>
        </w:rPr>
        <w:t>安全管理制度</w:t>
      </w:r>
    </w:p>
    <w:p>
      <w:pPr>
        <w:adjustRightInd w:val="0"/>
        <w:snapToGrid w:val="0"/>
        <w:spacing w:line="360" w:lineRule="auto"/>
        <w:ind w:firstLine="560" w:firstLineChars="200"/>
        <w:rPr>
          <w:rFonts w:hint="eastAsia" w:eastAsia="宋体"/>
          <w:sz w:val="28"/>
          <w:lang w:eastAsia="zh-CN"/>
        </w:rPr>
      </w:pPr>
      <w:r>
        <w:rPr>
          <w:rFonts w:hint="eastAsia"/>
          <w:sz w:val="28"/>
        </w:rPr>
        <w:t>公司制定的安全管理制度有</w:t>
      </w:r>
      <w:r>
        <w:rPr>
          <w:rFonts w:hint="eastAsia"/>
          <w:sz w:val="28"/>
          <w:lang w:eastAsia="zh-CN"/>
        </w:rPr>
        <w:t>：</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安全生产例会制度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特种作业人员安全作业制度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特种设备安全管理制度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公司安全考核奖惩制度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安全生产检查制度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安全教育培训制度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安全生产投入及安全生产费用提取和使用制度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职工劳动保护用品管理制度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安全档案管理制度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生产卫生与劳动防护管理制度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消防安全管理制度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干部值班安全管理制度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设备设施管理制度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外来施工队伍安全管理制度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安全技术措施管理制度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新建、改建、扩建工程三同时管理制度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交通安全管理制度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承包商管理制度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领导干部承包要害部位（部门）管理制度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安全事故报告制度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事故隐患整改制度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安全事故管理制度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生产作业场所安全管理制度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行为的安全管理制度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吊装作业管理制度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安全、环保监督检查管理制度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领导干部安全联系制度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风险分级管控制度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隐患排查治理制度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职工工伤管理制度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职业卫生管理制度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职业性健康检查管理制度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事故调查处理制度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文件、档案管理制度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设备设施维护保养验收制度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rPr>
      </w:pPr>
      <w:r>
        <w:rPr>
          <w:rFonts w:hint="eastAsia"/>
          <w:sz w:val="28"/>
          <w:lang w:val="en-US" w:eastAsia="zh-CN"/>
        </w:rPr>
        <w:t>生产设备、设施报废管理制度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临时用电作业审批制度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动火作业审批制度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高处作业审批制度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进入受限空间作业审批制度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事故应急救援管理制度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应急预案管理制度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安全设备设施管理制度</w:t>
      </w:r>
    </w:p>
    <w:p>
      <w:pPr>
        <w:pStyle w:val="125"/>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left="0" w:leftChars="0" w:firstLine="560" w:firstLineChars="200"/>
        <w:textAlignment w:val="auto"/>
        <w:rPr>
          <w:sz w:val="28"/>
          <w:u w:val="none"/>
        </w:rPr>
      </w:pPr>
      <w:r>
        <w:rPr>
          <w:rFonts w:hint="eastAsia"/>
          <w:sz w:val="28"/>
          <w:u w:val="none"/>
          <w:lang w:val="en-US" w:eastAsia="zh-CN"/>
        </w:rPr>
        <w:t>变更管理制度</w:t>
      </w:r>
    </w:p>
    <w:p>
      <w:pPr>
        <w:pStyle w:val="12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sz w:val="28"/>
        </w:rPr>
      </w:pPr>
      <w:r>
        <w:rPr>
          <w:rFonts w:hint="eastAsia"/>
          <w:sz w:val="28"/>
        </w:rPr>
        <w:t>该企业目前</w:t>
      </w:r>
      <w:r>
        <w:rPr>
          <w:rFonts w:hint="eastAsia"/>
          <w:color w:val="auto"/>
          <w:sz w:val="28"/>
        </w:rPr>
        <w:t>运行的安全管理制度</w:t>
      </w:r>
      <w:r>
        <w:rPr>
          <w:rFonts w:hint="eastAsia"/>
          <w:color w:val="auto"/>
          <w:sz w:val="28"/>
          <w:lang w:val="en-US" w:eastAsia="zh-CN"/>
        </w:rPr>
        <w:t>健全，经相关负责人审核签发，安全管理制度涵盖了</w:t>
      </w:r>
      <w:r>
        <w:rPr>
          <w:rFonts w:hint="eastAsia"/>
          <w:color w:val="auto"/>
          <w:sz w:val="28"/>
          <w:lang w:eastAsia="zh-CN"/>
        </w:rPr>
        <w:t>《</w:t>
      </w:r>
      <w:r>
        <w:rPr>
          <w:rFonts w:hint="eastAsia"/>
          <w:color w:val="auto"/>
          <w:sz w:val="28"/>
        </w:rPr>
        <w:t>非煤矿矿山企业安全生产许可证实施办法》（原国家安全监管总局令第20号，2015年安全监管总局令第78号修正）第六条、《山东省安全生产条例》（2021年12月3日山东省第十三届人民代表大会常务委员会第三十二次会议修订）第十五条、《山东省生产经营单位安全生产主体责任规定》（</w:t>
      </w:r>
      <w:r>
        <w:rPr>
          <w:rFonts w:hint="eastAsia"/>
          <w:sz w:val="28"/>
        </w:rPr>
        <w:t>山东省人民政府令</w:t>
      </w:r>
      <w:r>
        <w:rPr>
          <w:rFonts w:hint="eastAsia"/>
          <w:sz w:val="28"/>
          <w:lang w:val="en-US" w:eastAsia="zh-CN"/>
        </w:rPr>
        <w:t>第260号，经第303号、</w:t>
      </w:r>
      <w:r>
        <w:rPr>
          <w:rFonts w:hint="eastAsia"/>
          <w:sz w:val="28"/>
        </w:rPr>
        <w:t>第311号修订</w:t>
      </w:r>
      <w:r>
        <w:rPr>
          <w:rFonts w:hint="eastAsia"/>
          <w:color w:val="auto"/>
          <w:sz w:val="28"/>
        </w:rPr>
        <w:t>）第七条</w:t>
      </w:r>
      <w:r>
        <w:rPr>
          <w:rFonts w:hint="eastAsia"/>
          <w:color w:val="auto"/>
          <w:sz w:val="28"/>
          <w:lang w:val="en-US" w:eastAsia="zh-CN"/>
        </w:rPr>
        <w:t>等要求的</w:t>
      </w:r>
      <w:r>
        <w:rPr>
          <w:rFonts w:hint="eastAsia"/>
          <w:sz w:val="28"/>
          <w:lang w:val="en-US" w:eastAsia="zh-CN"/>
        </w:rPr>
        <w:t>各项制度</w:t>
      </w:r>
      <w:r>
        <w:rPr>
          <w:rFonts w:hint="eastAsia"/>
          <w:sz w:val="28"/>
        </w:rPr>
        <w:t>，</w:t>
      </w:r>
      <w:r>
        <w:rPr>
          <w:rFonts w:hint="eastAsia"/>
          <w:sz w:val="28"/>
          <w:lang w:val="en-US" w:eastAsia="zh-CN"/>
        </w:rPr>
        <w:t>且运行情况良好，</w:t>
      </w:r>
      <w:r>
        <w:rPr>
          <w:rFonts w:hint="eastAsia"/>
          <w:sz w:val="28"/>
        </w:rPr>
        <w:t>建议企业定期更新完善现有安全管理制度。</w:t>
      </w:r>
    </w:p>
    <w:p>
      <w:pPr>
        <w:pStyle w:val="5"/>
        <w:adjustRightInd w:val="0"/>
        <w:snapToGrid w:val="0"/>
        <w:spacing w:line="360" w:lineRule="auto"/>
        <w:ind w:firstLine="480"/>
        <w:jc w:val="center"/>
        <w:rPr>
          <w:rFonts w:hint="default" w:eastAsia="宋体"/>
          <w:b/>
          <w:bCs/>
          <w:sz w:val="24"/>
          <w:szCs w:val="28"/>
          <w:lang w:val="en-US" w:eastAsia="zh-CN"/>
        </w:rPr>
      </w:pPr>
      <w:r>
        <w:rPr>
          <w:rFonts w:hint="eastAsia"/>
          <w:b/>
          <w:bCs/>
          <w:sz w:val="24"/>
          <w:szCs w:val="28"/>
        </w:rPr>
        <w:t>表2</w:t>
      </w:r>
      <w:r>
        <w:rPr>
          <w:rFonts w:hint="eastAsia"/>
          <w:b/>
          <w:bCs/>
          <w:sz w:val="24"/>
          <w:szCs w:val="28"/>
          <w:lang w:val="en-US" w:eastAsia="zh-CN"/>
        </w:rPr>
        <w:t>.5-</w:t>
      </w:r>
      <w:r>
        <w:rPr>
          <w:rFonts w:hint="eastAsia"/>
          <w:b/>
          <w:bCs/>
          <w:sz w:val="24"/>
          <w:szCs w:val="28"/>
        </w:rPr>
        <w:t>1</w:t>
      </w:r>
      <w:r>
        <w:rPr>
          <w:rFonts w:hint="eastAsia"/>
          <w:b/>
          <w:bCs/>
          <w:sz w:val="24"/>
          <w:szCs w:val="28"/>
          <w:lang w:val="en-US" w:eastAsia="zh-CN"/>
        </w:rPr>
        <w:t xml:space="preserve"> 制度要求对比一览表</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0"/>
        <w:gridCol w:w="4407"/>
        <w:gridCol w:w="3111"/>
        <w:gridCol w:w="5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b/>
                <w:bCs/>
                <w:kern w:val="0"/>
                <w:szCs w:val="21"/>
              </w:rPr>
            </w:pPr>
            <w:r>
              <w:rPr>
                <w:rFonts w:hint="eastAsia" w:cs="宋体"/>
                <w:b/>
                <w:bCs/>
                <w:kern w:val="0"/>
                <w:szCs w:val="21"/>
              </w:rPr>
              <w:t>序号</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b/>
                <w:bCs/>
                <w:kern w:val="0"/>
                <w:szCs w:val="21"/>
                <w:lang w:eastAsia="zh-CN"/>
              </w:rPr>
            </w:pPr>
            <w:r>
              <w:rPr>
                <w:rFonts w:hint="eastAsia" w:cs="宋体"/>
                <w:b/>
                <w:bCs/>
                <w:kern w:val="0"/>
                <w:szCs w:val="21"/>
                <w:lang w:eastAsia="zh-CN"/>
              </w:rPr>
              <w:t>《</w:t>
            </w:r>
            <w:r>
              <w:rPr>
                <w:rFonts w:hint="eastAsia" w:cs="宋体"/>
                <w:b/>
                <w:bCs/>
                <w:kern w:val="0"/>
                <w:szCs w:val="21"/>
              </w:rPr>
              <w:t>非煤矿矿山企业安全生产许可证实施办法》（原国家安全监管总局令第20号，2015年安全监管总局令第78号修正）</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b/>
                <w:bCs/>
                <w:kern w:val="0"/>
                <w:szCs w:val="21"/>
                <w:lang w:val="en-US" w:eastAsia="zh-CN"/>
              </w:rPr>
            </w:pPr>
            <w:r>
              <w:rPr>
                <w:rFonts w:hint="eastAsia" w:cs="宋体"/>
                <w:b/>
                <w:bCs/>
                <w:kern w:val="0"/>
                <w:szCs w:val="21"/>
                <w:lang w:val="en-US" w:eastAsia="zh-CN"/>
              </w:rPr>
              <w:t>企业制定对应的制度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b/>
                <w:bCs/>
                <w:kern w:val="0"/>
                <w:szCs w:val="21"/>
                <w:lang w:val="en-US" w:eastAsia="zh-CN"/>
              </w:rPr>
            </w:pPr>
            <w:r>
              <w:rPr>
                <w:rFonts w:hint="eastAsia" w:cs="宋体"/>
                <w:b/>
                <w:bCs/>
                <w:kern w:val="0"/>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default" w:cs="宋体"/>
                <w:kern w:val="0"/>
                <w:szCs w:val="21"/>
              </w:rPr>
              <w:t>1</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安全生产责任制</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安全生产责任制</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安全检查制度</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安全生产检查制度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3</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职业危害预防制度</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职业卫生管理制度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4</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安全教育培训制度</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安全教育培训制度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5</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生产安全事故管理制度</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安全事故报告制度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6</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重大危险源监控和重大隐患整改制度</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事故隐患整改制度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7</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设备安全管理制度</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设备设施管理制度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8</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安全生产档案管理制度</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安全档案管理制度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9</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安全生产奖惩制度</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公司安全考核奖惩制度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b/>
                <w:bCs/>
                <w:kern w:val="0"/>
                <w:szCs w:val="21"/>
                <w:lang w:val="en-US" w:eastAsia="zh-CN"/>
              </w:rPr>
              <w:t>序号</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eastAsia" w:cs="宋体"/>
                <w:b/>
                <w:bCs/>
                <w:kern w:val="0"/>
                <w:szCs w:val="21"/>
              </w:rPr>
              <w:t>《山东省安全生产条例》（2021年12月3日山东省第十三届人民代表大会常务委员会第三十二次会议修订）</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b/>
                <w:bCs/>
                <w:kern w:val="0"/>
                <w:szCs w:val="21"/>
                <w:lang w:val="en-US" w:eastAsia="zh-CN"/>
              </w:rPr>
              <w:t>企业制定对应的制度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b/>
                <w:bCs/>
                <w:kern w:val="0"/>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1</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安全生产会议</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安全生产例会制度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安全生产资金投入</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安全生产投入及安全生产费用提取和使用制度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264" w:type="pct"/>
            <w:vMerge w:val="restar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3</w:t>
            </w:r>
          </w:p>
        </w:tc>
        <w:tc>
          <w:tcPr>
            <w:tcW w:w="2585" w:type="pct"/>
            <w:vMerge w:val="restar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安全生产教育培训和特种作业人员管理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安全教育培训制度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264"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2585"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特种作业人员安全作业制度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4</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劳动防护用品管理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职工劳动保护用品管理制度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5</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安全设施和设备管理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安全设备设施管理制度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6</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职业病防治管理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职业卫生管理制度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7</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安全生产检查</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安全生产检查制度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宋体"/>
                <w:kern w:val="0"/>
                <w:sz w:val="21"/>
                <w:szCs w:val="21"/>
                <w:lang w:val="en-US" w:eastAsia="zh-CN" w:bidi="ar-SA"/>
              </w:rPr>
            </w:pPr>
            <w:r>
              <w:rPr>
                <w:rFonts w:hint="eastAsia" w:cs="宋体"/>
                <w:b/>
                <w:bCs/>
                <w:kern w:val="0"/>
                <w:szCs w:val="21"/>
                <w:lang w:val="en-US" w:eastAsia="zh-CN"/>
              </w:rPr>
              <w:t>序号</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宋体"/>
                <w:kern w:val="0"/>
                <w:sz w:val="21"/>
                <w:szCs w:val="21"/>
                <w:lang w:val="en-US" w:eastAsia="zh-CN" w:bidi="ar-SA"/>
              </w:rPr>
            </w:pPr>
            <w:r>
              <w:rPr>
                <w:rFonts w:hint="eastAsia" w:cs="宋体"/>
                <w:b/>
                <w:bCs/>
                <w:kern w:val="0"/>
                <w:szCs w:val="21"/>
              </w:rPr>
              <w:t>《山东省安全生产条例》（2021年12月3日山东省第十三届人民代表大会常务委员会第三十二次会议修订）</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宋体"/>
                <w:kern w:val="0"/>
                <w:sz w:val="21"/>
                <w:szCs w:val="21"/>
                <w:lang w:val="en-US" w:eastAsia="zh-CN" w:bidi="ar-SA"/>
              </w:rPr>
            </w:pPr>
            <w:r>
              <w:rPr>
                <w:rFonts w:hint="eastAsia" w:cs="宋体"/>
                <w:b/>
                <w:bCs/>
                <w:kern w:val="0"/>
                <w:szCs w:val="21"/>
                <w:lang w:val="en-US" w:eastAsia="zh-CN"/>
              </w:rPr>
              <w:t>企业制定对应的制度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宋体"/>
                <w:kern w:val="0"/>
                <w:sz w:val="21"/>
                <w:szCs w:val="21"/>
                <w:lang w:val="en-US" w:eastAsia="zh-CN" w:bidi="ar-SA"/>
              </w:rPr>
            </w:pPr>
            <w:r>
              <w:rPr>
                <w:rFonts w:hint="eastAsia" w:cs="宋体"/>
                <w:b/>
                <w:bCs/>
                <w:kern w:val="0"/>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264" w:type="pct"/>
            <w:vMerge w:val="restar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8</w:t>
            </w:r>
          </w:p>
        </w:tc>
        <w:tc>
          <w:tcPr>
            <w:tcW w:w="2585" w:type="pct"/>
            <w:vMerge w:val="restar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危险作业管理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临时用电作业审批制度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264"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2585"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动火作业审批制度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264"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2585"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高处作业审批制度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71" w:hRule="atLeast"/>
          <w:jc w:val="center"/>
        </w:trPr>
        <w:tc>
          <w:tcPr>
            <w:tcW w:w="264"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2585"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进入受限空间作业审批制度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9</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事故隐患排查治理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隐患排查治理制度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10</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重大危险源监控管理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不涉及</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11</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安全生产奖惩</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公司安全考核奖惩制度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12</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事故报告</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安全事故报告制度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13</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应急救援</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事故应急救援管理制度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b/>
                <w:bCs/>
                <w:kern w:val="0"/>
                <w:szCs w:val="21"/>
                <w:lang w:val="en-US" w:eastAsia="zh-CN"/>
              </w:rPr>
              <w:t>序号</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rPr>
            </w:pPr>
            <w:r>
              <w:rPr>
                <w:rFonts w:hint="eastAsia" w:cs="宋体"/>
                <w:b/>
                <w:bCs/>
                <w:kern w:val="0"/>
                <w:szCs w:val="21"/>
              </w:rPr>
              <w:t>《山东省生产经营单位安全生产主体责任规定》（山东省人民政府令</w:t>
            </w:r>
            <w:r>
              <w:rPr>
                <w:rFonts w:hint="eastAsia" w:cs="宋体"/>
                <w:b/>
                <w:bCs/>
                <w:kern w:val="0"/>
                <w:szCs w:val="21"/>
                <w:lang w:val="en-US" w:eastAsia="zh-CN"/>
              </w:rPr>
              <w:t>第260号，经第303号、</w:t>
            </w:r>
            <w:r>
              <w:rPr>
                <w:rFonts w:hint="eastAsia" w:cs="宋体"/>
                <w:b/>
                <w:bCs/>
                <w:kern w:val="0"/>
                <w:szCs w:val="21"/>
              </w:rPr>
              <w:t>第311号修订）</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b/>
                <w:bCs/>
                <w:kern w:val="0"/>
                <w:szCs w:val="21"/>
                <w:lang w:val="en-US" w:eastAsia="zh-CN"/>
              </w:rPr>
              <w:t>企业制定对应的制度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b/>
                <w:bCs/>
                <w:kern w:val="0"/>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1</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安全生产资金投入</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安全生产投入及安全生产费用提取和使用制度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2</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劳动防护用品管理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职工劳动保护用品管理制度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3</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安全设施和设备管理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安全设备设施管理制度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4</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安全生产教育和培训</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安全教育培训制度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5</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安全生产检查</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安全生产检查制度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6</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风险分级管控</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风险分级管控制度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7</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领导现场带班</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领导干部承包要害部位（部门）管理制度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8</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cs="宋体"/>
                <w:kern w:val="0"/>
                <w:szCs w:val="21"/>
                <w:lang w:val="en-US" w:eastAsia="zh-CN"/>
              </w:rPr>
            </w:pPr>
            <w:r>
              <w:rPr>
                <w:rFonts w:hint="eastAsia" w:cs="宋体"/>
                <w:kern w:val="0"/>
                <w:szCs w:val="21"/>
                <w:lang w:val="en-US" w:eastAsia="zh-CN"/>
              </w:rPr>
              <w:t>隐患排查治理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隐患排查治理制度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264" w:type="pct"/>
            <w:vMerge w:val="restar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eastAsia="宋体" w:cs="宋体"/>
                <w:kern w:val="0"/>
                <w:szCs w:val="21"/>
                <w:lang w:val="en-US" w:eastAsia="zh-CN"/>
              </w:rPr>
            </w:pPr>
            <w:r>
              <w:rPr>
                <w:rFonts w:hint="eastAsia" w:cs="宋体"/>
                <w:kern w:val="0"/>
                <w:szCs w:val="21"/>
                <w:lang w:val="en-US" w:eastAsia="zh-CN"/>
              </w:rPr>
              <w:t>9</w:t>
            </w:r>
          </w:p>
        </w:tc>
        <w:tc>
          <w:tcPr>
            <w:tcW w:w="2585" w:type="pct"/>
            <w:vMerge w:val="restar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危险作业管理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宋体"/>
                <w:kern w:val="0"/>
                <w:sz w:val="21"/>
                <w:szCs w:val="21"/>
                <w:lang w:val="en-US" w:eastAsia="zh-CN" w:bidi="ar-SA"/>
              </w:rPr>
            </w:pPr>
            <w:r>
              <w:rPr>
                <w:rFonts w:hint="eastAsia" w:cs="宋体"/>
                <w:kern w:val="0"/>
                <w:szCs w:val="21"/>
                <w:lang w:val="en-US" w:eastAsia="zh-CN"/>
              </w:rPr>
              <w:t>临时用电作业审批制度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264"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2585"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宋体"/>
                <w:kern w:val="0"/>
                <w:sz w:val="21"/>
                <w:szCs w:val="21"/>
                <w:lang w:val="en-US" w:eastAsia="zh-CN" w:bidi="ar-SA"/>
              </w:rPr>
            </w:pPr>
            <w:r>
              <w:rPr>
                <w:rFonts w:hint="eastAsia" w:cs="宋体"/>
                <w:kern w:val="0"/>
                <w:szCs w:val="21"/>
                <w:lang w:val="en-US" w:eastAsia="zh-CN"/>
              </w:rPr>
              <w:t>动火作业审批制度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264"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2585"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宋体"/>
                <w:kern w:val="0"/>
                <w:sz w:val="21"/>
                <w:szCs w:val="21"/>
                <w:lang w:val="en-US" w:eastAsia="zh-CN" w:bidi="ar-SA"/>
              </w:rPr>
            </w:pPr>
            <w:r>
              <w:rPr>
                <w:rFonts w:hint="eastAsia" w:cs="宋体"/>
                <w:kern w:val="0"/>
                <w:szCs w:val="21"/>
                <w:lang w:val="en-US" w:eastAsia="zh-CN"/>
              </w:rPr>
              <w:t>高处作业审批制度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264"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2585"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宋体"/>
                <w:kern w:val="0"/>
                <w:sz w:val="21"/>
                <w:szCs w:val="21"/>
                <w:lang w:val="en-US" w:eastAsia="zh-CN" w:bidi="ar-SA"/>
              </w:rPr>
            </w:pPr>
            <w:r>
              <w:rPr>
                <w:rFonts w:hint="eastAsia" w:cs="宋体"/>
                <w:kern w:val="0"/>
                <w:szCs w:val="21"/>
                <w:lang w:val="en-US" w:eastAsia="zh-CN"/>
              </w:rPr>
              <w:t>进入受限空间作业审批制度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10</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安全生产奖惩</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公司安全考核奖惩制度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11</w:t>
            </w:r>
          </w:p>
        </w:tc>
        <w:tc>
          <w:tcPr>
            <w:tcW w:w="258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应急预案管理</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u w:val="none"/>
                <w:lang w:val="en-US" w:eastAsia="zh-CN"/>
              </w:rPr>
              <w:t>应急预案管理制度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264" w:type="pct"/>
            <w:vMerge w:val="restar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default" w:eastAsia="宋体" w:cs="宋体"/>
                <w:kern w:val="0"/>
                <w:szCs w:val="21"/>
                <w:lang w:val="en-US" w:eastAsia="zh-CN"/>
              </w:rPr>
            </w:pPr>
            <w:r>
              <w:rPr>
                <w:rFonts w:hint="eastAsia" w:cs="宋体"/>
                <w:kern w:val="0"/>
                <w:szCs w:val="21"/>
                <w:lang w:val="en-US" w:eastAsia="zh-CN"/>
              </w:rPr>
              <w:t>12</w:t>
            </w:r>
          </w:p>
        </w:tc>
        <w:tc>
          <w:tcPr>
            <w:tcW w:w="2585" w:type="pct"/>
            <w:vMerge w:val="restar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事故报告和事故应急救援</w:t>
            </w: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安全事故报告制度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264"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2585" w:type="pct"/>
            <w:vMerge w:val="continue"/>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c>
          <w:tcPr>
            <w:tcW w:w="18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r>
              <w:rPr>
                <w:rFonts w:hint="eastAsia" w:cs="宋体"/>
                <w:kern w:val="0"/>
                <w:szCs w:val="21"/>
                <w:lang w:val="en-US" w:eastAsia="zh-CN"/>
              </w:rPr>
              <w:t>事故应急救援管理制度</w:t>
            </w:r>
          </w:p>
        </w:tc>
        <w:tc>
          <w:tcPr>
            <w:tcW w:w="325" w:type="pct"/>
            <w:tcBorders>
              <w:tl2br w:val="nil"/>
              <w:tr2bl w:val="nil"/>
            </w:tcBorders>
            <w:noWrap/>
            <w:vAlign w:val="center"/>
          </w:tcPr>
          <w:p>
            <w:pPr>
              <w:keepNext w:val="0"/>
              <w:keepLines w:val="0"/>
              <w:widowControl/>
              <w:suppressLineNumbers w:val="0"/>
              <w:adjustRightInd w:val="0"/>
              <w:snapToGrid w:val="0"/>
              <w:spacing w:before="62" w:beforeLines="20" w:beforeAutospacing="0" w:after="62" w:afterLines="20" w:afterAutospacing="0"/>
              <w:ind w:left="0" w:right="0"/>
              <w:jc w:val="center"/>
              <w:rPr>
                <w:rFonts w:hint="eastAsia" w:cs="宋体"/>
                <w:kern w:val="0"/>
                <w:szCs w:val="21"/>
                <w:lang w:val="en-US" w:eastAsia="zh-CN"/>
              </w:rPr>
            </w:pPr>
          </w:p>
        </w:tc>
      </w:tr>
    </w:tbl>
    <w:p>
      <w:pPr>
        <w:pStyle w:val="6"/>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eastAsia="黑体"/>
          <w:b w:val="0"/>
          <w:snapToGrid w:val="0"/>
          <w:kern w:val="0"/>
          <w:sz w:val="28"/>
          <w:szCs w:val="28"/>
        </w:rPr>
      </w:pPr>
      <w:r>
        <w:rPr>
          <w:rFonts w:hint="eastAsia" w:eastAsia="黑体"/>
          <w:b w:val="0"/>
          <w:snapToGrid w:val="0"/>
          <w:kern w:val="0"/>
          <w:sz w:val="28"/>
          <w:szCs w:val="28"/>
        </w:rPr>
        <w:t>2.</w:t>
      </w:r>
      <w:r>
        <w:rPr>
          <w:rFonts w:eastAsia="黑体"/>
          <w:b w:val="0"/>
          <w:snapToGrid w:val="0"/>
          <w:kern w:val="0"/>
          <w:sz w:val="28"/>
          <w:szCs w:val="28"/>
        </w:rPr>
        <w:t>5</w:t>
      </w:r>
      <w:r>
        <w:rPr>
          <w:rFonts w:hint="eastAsia" w:eastAsia="黑体"/>
          <w:b w:val="0"/>
          <w:snapToGrid w:val="0"/>
          <w:kern w:val="0"/>
          <w:sz w:val="28"/>
          <w:szCs w:val="28"/>
        </w:rPr>
        <w:t>.3</w:t>
      </w:r>
      <w:r>
        <w:rPr>
          <w:rFonts w:eastAsia="黑体"/>
          <w:b w:val="0"/>
          <w:snapToGrid w:val="0"/>
          <w:kern w:val="0"/>
          <w:sz w:val="28"/>
          <w:szCs w:val="28"/>
        </w:rPr>
        <w:t xml:space="preserve"> </w:t>
      </w:r>
      <w:r>
        <w:rPr>
          <w:rFonts w:hint="eastAsia" w:eastAsia="黑体"/>
          <w:b w:val="0"/>
          <w:snapToGrid w:val="0"/>
          <w:kern w:val="0"/>
          <w:sz w:val="28"/>
          <w:szCs w:val="28"/>
        </w:rPr>
        <w:t>操作规程</w:t>
      </w:r>
    </w:p>
    <w:p>
      <w:pPr>
        <w:adjustRightInd w:val="0"/>
        <w:snapToGrid w:val="0"/>
        <w:spacing w:line="360" w:lineRule="auto"/>
        <w:ind w:firstLine="560" w:firstLineChars="200"/>
        <w:rPr>
          <w:sz w:val="28"/>
          <w:szCs w:val="28"/>
        </w:rPr>
      </w:pPr>
      <w:r>
        <w:rPr>
          <w:rFonts w:hint="eastAsia"/>
          <w:sz w:val="28"/>
          <w:lang w:val="en-US" w:eastAsia="zh-CN"/>
        </w:rPr>
        <w:t>该</w:t>
      </w:r>
      <w:r>
        <w:rPr>
          <w:rFonts w:hint="eastAsia"/>
          <w:sz w:val="28"/>
        </w:rPr>
        <w:t>公司</w:t>
      </w:r>
      <w:r>
        <w:rPr>
          <w:rFonts w:hint="eastAsia"/>
          <w:sz w:val="28"/>
          <w:lang w:val="en-US" w:eastAsia="zh-CN"/>
        </w:rPr>
        <w:t>根据现场作业流程</w:t>
      </w:r>
      <w:r>
        <w:rPr>
          <w:rFonts w:hint="eastAsia"/>
          <w:sz w:val="28"/>
        </w:rPr>
        <w:t>制定</w:t>
      </w:r>
      <w:r>
        <w:rPr>
          <w:rFonts w:hint="eastAsia"/>
          <w:sz w:val="28"/>
          <w:lang w:val="en-US" w:eastAsia="zh-CN"/>
        </w:rPr>
        <w:t>有仪器/工程施工人员</w:t>
      </w:r>
      <w:r>
        <w:rPr>
          <w:rFonts w:hint="eastAsia"/>
          <w:sz w:val="28"/>
        </w:rPr>
        <w:t>操作规程</w:t>
      </w:r>
      <w:r>
        <w:rPr>
          <w:rFonts w:hint="eastAsia"/>
          <w:sz w:val="28"/>
          <w:lang w:eastAsia="zh-CN"/>
        </w:rPr>
        <w:t>，</w:t>
      </w:r>
      <w:r>
        <w:rPr>
          <w:rFonts w:hint="eastAsia"/>
          <w:sz w:val="28"/>
          <w:lang w:val="en-US" w:eastAsia="zh-CN"/>
        </w:rPr>
        <w:t>内容包括MWD作业规程、LWD作业规程、维护保养、总结与书面报告、电池的安全技术操作规程等，能够涵盖该公司钻井（定向施工）作业范围，</w:t>
      </w:r>
      <w:r>
        <w:rPr>
          <w:rFonts w:hint="eastAsia"/>
          <w:sz w:val="28"/>
          <w:szCs w:val="28"/>
        </w:rPr>
        <w:t>符</w:t>
      </w:r>
      <w:r>
        <w:rPr>
          <w:rFonts w:hint="eastAsia"/>
          <w:color w:val="auto"/>
          <w:sz w:val="28"/>
          <w:szCs w:val="28"/>
        </w:rPr>
        <w:t>合《山东省生产经营单位安全生产主体责任规定》（</w:t>
      </w:r>
      <w:r>
        <w:rPr>
          <w:rFonts w:hint="eastAsia"/>
          <w:sz w:val="28"/>
        </w:rPr>
        <w:t>山东省人民政府令</w:t>
      </w:r>
      <w:r>
        <w:rPr>
          <w:rFonts w:hint="eastAsia"/>
          <w:sz w:val="28"/>
          <w:lang w:val="en-US" w:eastAsia="zh-CN"/>
        </w:rPr>
        <w:t>第260号，经第303号、</w:t>
      </w:r>
      <w:r>
        <w:rPr>
          <w:rFonts w:hint="eastAsia"/>
          <w:sz w:val="28"/>
        </w:rPr>
        <w:t>第311号修订</w:t>
      </w:r>
      <w:r>
        <w:rPr>
          <w:rFonts w:hint="eastAsia"/>
          <w:color w:val="auto"/>
          <w:sz w:val="28"/>
          <w:szCs w:val="28"/>
        </w:rPr>
        <w:t>）中第七条</w:t>
      </w:r>
      <w:r>
        <w:rPr>
          <w:rFonts w:hint="eastAsia"/>
          <w:sz w:val="28"/>
          <w:szCs w:val="28"/>
        </w:rPr>
        <w:t>的要求，且现已执行。建议企业应根据</w:t>
      </w:r>
      <w:r>
        <w:rPr>
          <w:sz w:val="28"/>
          <w:szCs w:val="28"/>
        </w:rPr>
        <w:t>实际情况对其不断修订、完善</w:t>
      </w:r>
      <w:r>
        <w:rPr>
          <w:rFonts w:hint="eastAsia"/>
          <w:sz w:val="28"/>
          <w:szCs w:val="28"/>
        </w:rPr>
        <w:t>。</w:t>
      </w:r>
    </w:p>
    <w:p>
      <w:pPr>
        <w:pStyle w:val="4"/>
        <w:adjustRightInd w:val="0"/>
        <w:snapToGrid w:val="0"/>
        <w:spacing w:before="0" w:after="0" w:line="360" w:lineRule="auto"/>
        <w:rPr>
          <w:rFonts w:ascii="Times New Roman" w:hAnsi="Times New Roman"/>
          <w:b w:val="0"/>
          <w:bCs/>
          <w:szCs w:val="32"/>
        </w:rPr>
      </w:pPr>
      <w:bookmarkStart w:id="29" w:name="_Toc10765"/>
      <w:r>
        <w:rPr>
          <w:rFonts w:hint="eastAsia" w:ascii="Times New Roman" w:hAnsi="Times New Roman"/>
          <w:b w:val="0"/>
          <w:bCs/>
          <w:szCs w:val="32"/>
        </w:rPr>
        <w:t>2.</w:t>
      </w:r>
      <w:r>
        <w:rPr>
          <w:rFonts w:ascii="Times New Roman" w:hAnsi="Times New Roman"/>
          <w:b w:val="0"/>
          <w:bCs/>
          <w:szCs w:val="32"/>
        </w:rPr>
        <w:t xml:space="preserve">6 </w:t>
      </w:r>
      <w:r>
        <w:rPr>
          <w:rFonts w:hint="eastAsia" w:ascii="Times New Roman" w:hAnsi="Times New Roman"/>
          <w:b w:val="0"/>
          <w:bCs/>
          <w:szCs w:val="32"/>
        </w:rPr>
        <w:t>安全投入情况</w:t>
      </w:r>
      <w:bookmarkEnd w:id="29"/>
    </w:p>
    <w:p>
      <w:pPr>
        <w:adjustRightInd w:val="0"/>
        <w:snapToGrid w:val="0"/>
        <w:spacing w:line="360" w:lineRule="auto"/>
        <w:ind w:firstLine="560" w:firstLineChars="200"/>
        <w:rPr>
          <w:color w:val="auto"/>
          <w:sz w:val="28"/>
        </w:rPr>
      </w:pPr>
      <w:r>
        <w:rPr>
          <w:rFonts w:hint="eastAsia"/>
          <w:color w:val="auto"/>
          <w:sz w:val="28"/>
          <w:lang w:val="en-US" w:eastAsia="zh-CN"/>
        </w:rPr>
        <w:t>该</w:t>
      </w:r>
      <w:r>
        <w:rPr>
          <w:rFonts w:hint="eastAsia"/>
          <w:color w:val="auto"/>
          <w:sz w:val="28"/>
        </w:rPr>
        <w:t>公司在安全投入方面，执行</w:t>
      </w:r>
      <w:r>
        <w:rPr>
          <w:rFonts w:hint="eastAsia"/>
          <w:color w:val="auto"/>
          <w:sz w:val="28"/>
          <w:lang w:eastAsia="zh-CN"/>
        </w:rPr>
        <w:t>《企业安全生产费用提取和使用管理办法》（财企[2012]16号）</w:t>
      </w:r>
      <w:r>
        <w:rPr>
          <w:rFonts w:hint="eastAsia"/>
          <w:color w:val="auto"/>
          <w:sz w:val="28"/>
          <w:lang w:val="en-US" w:eastAsia="zh-CN"/>
        </w:rPr>
        <w:t>等</w:t>
      </w:r>
      <w:r>
        <w:rPr>
          <w:rFonts w:hint="eastAsia"/>
          <w:color w:val="auto"/>
          <w:sz w:val="28"/>
        </w:rPr>
        <w:t>有关规定，按比例提取</w:t>
      </w:r>
      <w:r>
        <w:rPr>
          <w:rFonts w:hint="eastAsia"/>
          <w:color w:val="auto"/>
          <w:sz w:val="28"/>
          <w:lang w:val="en-US" w:eastAsia="zh-CN"/>
        </w:rPr>
        <w:t>安全生产费用</w:t>
      </w:r>
      <w:r>
        <w:rPr>
          <w:rFonts w:hint="eastAsia"/>
          <w:color w:val="auto"/>
          <w:sz w:val="28"/>
        </w:rPr>
        <w:t>，专款专用，确保安全方面的资金投入。</w:t>
      </w:r>
      <w:r>
        <w:rPr>
          <w:rFonts w:hint="eastAsia"/>
          <w:color w:val="auto"/>
          <w:sz w:val="28"/>
          <w:lang w:val="en-US" w:eastAsia="zh-CN"/>
        </w:rPr>
        <w:t>安全生产费用</w:t>
      </w:r>
      <w:r>
        <w:rPr>
          <w:rFonts w:hint="eastAsia"/>
          <w:color w:val="auto"/>
          <w:sz w:val="28"/>
        </w:rPr>
        <w:t>主要用于完善、改造、维护安全设备、设施，配备应急救援器材、设备和现场作业人员安全防护物品支出，安全生产检查和评价，重大事故隐患整改，安全技能培训，应急演练及其他与安全生产直接相关的支出。</w:t>
      </w:r>
    </w:p>
    <w:p>
      <w:pPr>
        <w:adjustRightInd w:val="0"/>
        <w:snapToGrid w:val="0"/>
        <w:spacing w:line="360" w:lineRule="auto"/>
        <w:ind w:firstLine="560" w:firstLineChars="200"/>
        <w:rPr>
          <w:rFonts w:hint="eastAsia"/>
          <w:color w:val="auto"/>
          <w:sz w:val="24"/>
          <w:szCs w:val="28"/>
        </w:rPr>
      </w:pPr>
      <w:r>
        <w:rPr>
          <w:rFonts w:hint="eastAsia"/>
          <w:color w:val="auto"/>
          <w:sz w:val="28"/>
          <w:lang w:val="en-US" w:eastAsia="zh-CN"/>
        </w:rPr>
        <w:t>斯伦贝谢油田技术（山东）有限公司钻井（定向施工）作业方面</w:t>
      </w:r>
      <w:r>
        <w:rPr>
          <w:rFonts w:hint="eastAsia"/>
          <w:color w:val="auto"/>
          <w:sz w:val="28"/>
        </w:rPr>
        <w:t>20</w:t>
      </w:r>
      <w:r>
        <w:rPr>
          <w:rFonts w:hint="eastAsia"/>
          <w:color w:val="auto"/>
          <w:sz w:val="28"/>
          <w:lang w:val="en-US" w:eastAsia="zh-CN"/>
        </w:rPr>
        <w:t>21</w:t>
      </w:r>
      <w:r>
        <w:rPr>
          <w:rFonts w:hint="eastAsia"/>
          <w:color w:val="auto"/>
          <w:sz w:val="28"/>
        </w:rPr>
        <w:t>年至2</w:t>
      </w:r>
      <w:r>
        <w:rPr>
          <w:color w:val="auto"/>
          <w:sz w:val="28"/>
        </w:rPr>
        <w:t>0</w:t>
      </w:r>
      <w:r>
        <w:rPr>
          <w:rFonts w:hint="eastAsia"/>
          <w:color w:val="auto"/>
          <w:sz w:val="28"/>
          <w:lang w:val="en-US" w:eastAsia="zh-CN"/>
        </w:rPr>
        <w:t>22</w:t>
      </w:r>
      <w:r>
        <w:rPr>
          <w:rFonts w:hint="eastAsia"/>
          <w:color w:val="auto"/>
          <w:sz w:val="28"/>
        </w:rPr>
        <w:t>年</w:t>
      </w:r>
      <w:r>
        <w:rPr>
          <w:rFonts w:hint="eastAsia"/>
          <w:color w:val="auto"/>
          <w:sz w:val="28"/>
          <w:lang w:val="en-US" w:eastAsia="zh-CN"/>
        </w:rPr>
        <w:t>两</w:t>
      </w:r>
      <w:r>
        <w:rPr>
          <w:rFonts w:hint="eastAsia"/>
          <w:color w:val="auto"/>
          <w:sz w:val="28"/>
        </w:rPr>
        <w:t>年的安全投入费用具体情况见表2</w:t>
      </w:r>
      <w:r>
        <w:rPr>
          <w:rFonts w:hint="eastAsia"/>
          <w:color w:val="auto"/>
          <w:sz w:val="28"/>
          <w:lang w:val="en-US" w:eastAsia="zh-CN"/>
        </w:rPr>
        <w:t>.6</w:t>
      </w:r>
      <w:r>
        <w:rPr>
          <w:rFonts w:hint="eastAsia"/>
          <w:color w:val="auto"/>
          <w:sz w:val="28"/>
        </w:rPr>
        <w:t>-</w:t>
      </w:r>
      <w:r>
        <w:rPr>
          <w:rFonts w:hint="eastAsia"/>
          <w:color w:val="auto"/>
          <w:sz w:val="28"/>
          <w:lang w:val="en-US" w:eastAsia="zh-CN"/>
        </w:rPr>
        <w:t>1</w:t>
      </w:r>
      <w:r>
        <w:rPr>
          <w:rFonts w:hint="eastAsia"/>
          <w:color w:val="auto"/>
          <w:sz w:val="28"/>
          <w:lang w:eastAsia="zh-CN"/>
        </w:rPr>
        <w:t>，</w:t>
      </w:r>
      <w:r>
        <w:rPr>
          <w:rFonts w:hint="eastAsia"/>
          <w:color w:val="auto"/>
          <w:sz w:val="28"/>
          <w:lang w:val="en-US" w:eastAsia="zh-CN"/>
        </w:rPr>
        <w:t>安全投入证明材料详见报告附件17</w:t>
      </w:r>
      <w:r>
        <w:rPr>
          <w:rFonts w:hint="eastAsia"/>
          <w:color w:val="auto"/>
          <w:sz w:val="28"/>
        </w:rPr>
        <w:t>。</w:t>
      </w:r>
    </w:p>
    <w:p>
      <w:pPr>
        <w:adjustRightInd w:val="0"/>
        <w:snapToGrid w:val="0"/>
        <w:spacing w:line="360" w:lineRule="auto"/>
        <w:jc w:val="center"/>
        <w:rPr>
          <w:rFonts w:hint="eastAsia" w:eastAsia="宋体"/>
          <w:b/>
          <w:bCs/>
          <w:sz w:val="24"/>
          <w:szCs w:val="28"/>
          <w:lang w:eastAsia="zh-CN"/>
        </w:rPr>
      </w:pPr>
      <w:r>
        <w:rPr>
          <w:rFonts w:hint="eastAsia"/>
          <w:b/>
          <w:bCs/>
          <w:sz w:val="24"/>
          <w:szCs w:val="28"/>
        </w:rPr>
        <w:t>表2</w:t>
      </w:r>
      <w:r>
        <w:rPr>
          <w:rFonts w:hint="eastAsia"/>
          <w:b/>
          <w:bCs/>
          <w:sz w:val="24"/>
          <w:szCs w:val="28"/>
          <w:lang w:val="en-US" w:eastAsia="zh-CN"/>
        </w:rPr>
        <w:t>.6</w:t>
      </w:r>
      <w:r>
        <w:rPr>
          <w:rFonts w:hint="eastAsia"/>
          <w:b/>
          <w:bCs/>
          <w:sz w:val="24"/>
          <w:szCs w:val="28"/>
        </w:rPr>
        <w:t>-</w:t>
      </w:r>
      <w:r>
        <w:rPr>
          <w:rFonts w:hint="eastAsia"/>
          <w:b/>
          <w:bCs/>
          <w:sz w:val="24"/>
          <w:szCs w:val="28"/>
          <w:lang w:val="en-US" w:eastAsia="zh-CN"/>
        </w:rPr>
        <w:t>1</w:t>
      </w:r>
      <w:r>
        <w:rPr>
          <w:b/>
          <w:bCs/>
          <w:sz w:val="24"/>
          <w:szCs w:val="28"/>
        </w:rPr>
        <w:t xml:space="preserve"> </w:t>
      </w:r>
      <w:r>
        <w:rPr>
          <w:rFonts w:hint="eastAsia"/>
          <w:b/>
          <w:bCs/>
          <w:sz w:val="24"/>
          <w:szCs w:val="28"/>
        </w:rPr>
        <w:t>安全费用使用情况表</w:t>
      </w:r>
      <w:r>
        <w:rPr>
          <w:rFonts w:hint="eastAsia"/>
          <w:b/>
          <w:bCs/>
          <w:sz w:val="24"/>
          <w:szCs w:val="28"/>
          <w:lang w:eastAsia="zh-CN"/>
        </w:rPr>
        <w:t>（</w:t>
      </w:r>
      <w:r>
        <w:rPr>
          <w:rFonts w:hint="eastAsia"/>
          <w:b/>
          <w:bCs/>
          <w:sz w:val="24"/>
          <w:szCs w:val="28"/>
          <w:lang w:val="en-US" w:eastAsia="zh-CN"/>
        </w:rPr>
        <w:t>涉及公司机密不予以公开</w:t>
      </w:r>
      <w:r>
        <w:rPr>
          <w:rFonts w:hint="eastAsia"/>
          <w:b/>
          <w:bCs/>
          <w:sz w:val="24"/>
          <w:szCs w:val="28"/>
          <w:lang w:eastAsia="zh-CN"/>
        </w:rPr>
        <w:t>）</w:t>
      </w:r>
    </w:p>
    <w:tbl>
      <w:tblPr>
        <w:tblStyle w:val="52"/>
        <w:tblW w:w="75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9"/>
        <w:gridCol w:w="936"/>
        <w:gridCol w:w="1724"/>
        <w:gridCol w:w="1515"/>
        <w:gridCol w:w="1166"/>
        <w:gridCol w:w="16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489" w:type="dxa"/>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rPr>
            </w:pPr>
            <w:r>
              <w:rPr>
                <w:rFonts w:hint="eastAsia"/>
                <w:b/>
              </w:rPr>
              <w:t>序号</w:t>
            </w:r>
          </w:p>
        </w:tc>
        <w:tc>
          <w:tcPr>
            <w:tcW w:w="936" w:type="dxa"/>
            <w:tcBorders>
              <w:righ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rPr>
            </w:pPr>
            <w:r>
              <w:rPr>
                <w:rFonts w:hint="eastAsia"/>
                <w:b/>
              </w:rPr>
              <w:t>年份</w:t>
            </w:r>
          </w:p>
        </w:tc>
        <w:tc>
          <w:tcPr>
            <w:tcW w:w="1724" w:type="dxa"/>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b/>
                <w:lang w:val="en-US" w:eastAsia="zh-CN"/>
              </w:rPr>
            </w:pPr>
            <w:r>
              <w:rPr>
                <w:rFonts w:hint="eastAsia"/>
                <w:b/>
                <w:lang w:val="en-US" w:eastAsia="zh-CN"/>
              </w:rPr>
              <w:t>年度工程产值（万元）</w:t>
            </w:r>
          </w:p>
        </w:tc>
        <w:tc>
          <w:tcPr>
            <w:tcW w:w="1515" w:type="dxa"/>
            <w:tcBorders>
              <w:righ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b/>
                <w:lang w:val="en-US" w:eastAsia="zh-CN"/>
              </w:rPr>
            </w:pPr>
            <w:r>
              <w:rPr>
                <w:rFonts w:hint="eastAsia"/>
                <w:b/>
                <w:lang w:val="en-US" w:eastAsia="zh-CN"/>
              </w:rPr>
              <w:t>安全投入计划（万元）</w:t>
            </w:r>
          </w:p>
        </w:tc>
        <w:tc>
          <w:tcPr>
            <w:tcW w:w="1166" w:type="dxa"/>
            <w:tcBorders>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Times New Roman"/>
                <w:b/>
                <w:kern w:val="2"/>
                <w:sz w:val="21"/>
                <w:szCs w:val="24"/>
                <w:lang w:val="en-US" w:eastAsia="zh-CN" w:bidi="ar-SA"/>
              </w:rPr>
            </w:pPr>
            <w:r>
              <w:rPr>
                <w:rFonts w:hint="eastAsia"/>
                <w:b/>
                <w:lang w:val="en-US" w:eastAsia="zh-CN"/>
              </w:rPr>
              <w:t>计划</w:t>
            </w:r>
            <w:r>
              <w:rPr>
                <w:rFonts w:hint="eastAsia"/>
                <w:b/>
              </w:rPr>
              <w:t>提取比例</w:t>
            </w:r>
          </w:p>
        </w:tc>
        <w:tc>
          <w:tcPr>
            <w:tcW w:w="1695" w:type="dxa"/>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
              </w:rPr>
            </w:pPr>
            <w:r>
              <w:rPr>
                <w:rFonts w:hint="eastAsia"/>
                <w:b/>
              </w:rPr>
              <w:t>安全投入资金（万元）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9" w:type="dxa"/>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rPr>
            </w:pPr>
            <w:r>
              <w:rPr>
                <w:rFonts w:hint="eastAsia"/>
              </w:rPr>
              <w:t>1</w:t>
            </w:r>
          </w:p>
        </w:tc>
        <w:tc>
          <w:tcPr>
            <w:tcW w:w="936" w:type="dxa"/>
            <w:tcBorders>
              <w:right w:val="single" w:color="auto" w:sz="4" w:space="0"/>
            </w:tcBorders>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rPr>
            </w:pPr>
          </w:p>
        </w:tc>
        <w:tc>
          <w:tcPr>
            <w:tcW w:w="1724" w:type="dxa"/>
            <w:tcBorders>
              <w:left w:val="single" w:color="auto" w:sz="4" w:space="0"/>
            </w:tcBorders>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lang w:val="en-US" w:eastAsia="zh-CN"/>
              </w:rPr>
            </w:pPr>
          </w:p>
        </w:tc>
        <w:tc>
          <w:tcPr>
            <w:tcW w:w="1515" w:type="dxa"/>
            <w:tcBorders>
              <w:righ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lang w:val="en-US" w:eastAsia="zh-CN"/>
              </w:rPr>
            </w:pPr>
          </w:p>
        </w:tc>
        <w:tc>
          <w:tcPr>
            <w:tcW w:w="1166" w:type="dxa"/>
            <w:tcBorders>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1695" w:type="dxa"/>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9" w:type="dxa"/>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rPr>
            </w:pPr>
            <w:r>
              <w:rPr>
                <w:rFonts w:hint="eastAsia"/>
              </w:rPr>
              <w:t>2</w:t>
            </w:r>
          </w:p>
        </w:tc>
        <w:tc>
          <w:tcPr>
            <w:tcW w:w="936" w:type="dxa"/>
            <w:tcBorders>
              <w:right w:val="single" w:color="auto" w:sz="4" w:space="0"/>
            </w:tcBorders>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rPr>
            </w:pPr>
          </w:p>
        </w:tc>
        <w:tc>
          <w:tcPr>
            <w:tcW w:w="1724" w:type="dxa"/>
            <w:tcBorders>
              <w:left w:val="single" w:color="auto" w:sz="4" w:space="0"/>
            </w:tcBorders>
            <w:shd w:val="clear" w:color="auto" w:fill="auto"/>
            <w:noWrap/>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lang w:val="en-US" w:eastAsia="zh-CN"/>
              </w:rPr>
            </w:pPr>
          </w:p>
        </w:tc>
        <w:tc>
          <w:tcPr>
            <w:tcW w:w="1515" w:type="dxa"/>
            <w:tcBorders>
              <w:righ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lang w:val="en-US" w:eastAsia="zh-CN"/>
              </w:rPr>
            </w:pPr>
          </w:p>
        </w:tc>
        <w:tc>
          <w:tcPr>
            <w:tcW w:w="1166" w:type="dxa"/>
            <w:tcBorders>
              <w:left w:val="single" w:color="auto" w:sz="4" w:space="0"/>
              <w:righ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1695" w:type="dxa"/>
            <w:tcBorders>
              <w:left w:val="single" w:color="auto" w:sz="4" w:space="0"/>
            </w:tcBorders>
            <w:shd w:val="clear" w:color="auto" w:fill="auto"/>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color w:val="auto"/>
                <w:lang w:val="en-US" w:eastAsia="zh-CN"/>
              </w:rPr>
            </w:pPr>
          </w:p>
        </w:tc>
      </w:tr>
    </w:tbl>
    <w:p>
      <w:pPr>
        <w:adjustRightInd w:val="0"/>
        <w:snapToGrid w:val="0"/>
        <w:spacing w:line="360" w:lineRule="auto"/>
        <w:ind w:firstLine="420" w:firstLineChars="200"/>
        <w:rPr>
          <w:b/>
          <w:bCs/>
          <w:sz w:val="21"/>
          <w:szCs w:val="21"/>
        </w:rPr>
      </w:pPr>
      <w:r>
        <w:rPr>
          <w:rFonts w:hint="eastAsia"/>
          <w:b/>
          <w:bCs/>
          <w:sz w:val="21"/>
          <w:szCs w:val="21"/>
        </w:rPr>
        <w:t>注</w:t>
      </w:r>
      <w:r>
        <w:rPr>
          <w:rFonts w:hint="eastAsia"/>
          <w:b/>
          <w:bCs/>
          <w:sz w:val="21"/>
          <w:szCs w:val="21"/>
          <w:lang w:eastAsia="zh-CN"/>
        </w:rPr>
        <w:t>：</w:t>
      </w:r>
      <w:r>
        <w:rPr>
          <w:rFonts w:hint="eastAsia"/>
          <w:b/>
          <w:bCs/>
          <w:sz w:val="21"/>
          <w:szCs w:val="21"/>
        </w:rPr>
        <w:t>表中数据来自企业财务人员统计数据。</w:t>
      </w:r>
    </w:p>
    <w:p>
      <w:pPr>
        <w:adjustRightInd w:val="0"/>
        <w:snapToGrid w:val="0"/>
        <w:spacing w:line="360" w:lineRule="auto"/>
        <w:ind w:firstLine="560" w:firstLineChars="200"/>
        <w:rPr>
          <w:rFonts w:hint="default"/>
          <w:b w:val="0"/>
          <w:bCs w:val="0"/>
          <w:sz w:val="28"/>
          <w:lang w:val="en-US" w:eastAsia="zh-CN"/>
        </w:rPr>
      </w:pPr>
      <w:r>
        <w:rPr>
          <w:rFonts w:hint="eastAsia"/>
          <w:b w:val="0"/>
          <w:bCs w:val="0"/>
          <w:sz w:val="28"/>
          <w:lang w:val="en-US" w:eastAsia="zh-CN"/>
        </w:rPr>
        <w:t>由上表可知，该公司2021年、2022年钻井（定向施工）作业安全生产费用的提取、使用满足财企[2012]16号的要求。</w:t>
      </w:r>
    </w:p>
    <w:p>
      <w:pPr>
        <w:pStyle w:val="4"/>
        <w:adjustRightInd w:val="0"/>
        <w:snapToGrid w:val="0"/>
        <w:spacing w:before="0" w:after="0" w:line="360" w:lineRule="auto"/>
        <w:rPr>
          <w:rFonts w:ascii="Times New Roman" w:hAnsi="Times New Roman"/>
          <w:b w:val="0"/>
          <w:bCs/>
          <w:szCs w:val="32"/>
        </w:rPr>
      </w:pPr>
      <w:bookmarkStart w:id="30" w:name="_Toc8"/>
      <w:r>
        <w:rPr>
          <w:rFonts w:hint="eastAsia" w:ascii="Times New Roman" w:hAnsi="Times New Roman"/>
          <w:b w:val="0"/>
          <w:bCs/>
          <w:szCs w:val="32"/>
        </w:rPr>
        <w:t>2.</w:t>
      </w:r>
      <w:r>
        <w:rPr>
          <w:rFonts w:ascii="Times New Roman" w:hAnsi="Times New Roman"/>
          <w:b w:val="0"/>
          <w:bCs/>
          <w:szCs w:val="32"/>
        </w:rPr>
        <w:t xml:space="preserve">7 </w:t>
      </w:r>
      <w:r>
        <w:rPr>
          <w:rFonts w:hint="eastAsia" w:ascii="Times New Roman" w:hAnsi="Times New Roman"/>
          <w:b w:val="0"/>
          <w:bCs/>
          <w:szCs w:val="32"/>
        </w:rPr>
        <w:t>安全教育培训及人员持证情况</w:t>
      </w:r>
      <w:bookmarkEnd w:id="30"/>
    </w:p>
    <w:p>
      <w:pPr>
        <w:adjustRightInd w:val="0"/>
        <w:snapToGrid w:val="0"/>
        <w:spacing w:line="360" w:lineRule="auto"/>
        <w:ind w:firstLine="560" w:firstLineChars="200"/>
        <w:rPr>
          <w:rFonts w:hint="eastAsia"/>
          <w:sz w:val="28"/>
        </w:rPr>
      </w:pPr>
      <w:r>
        <w:rPr>
          <w:rFonts w:hint="eastAsia"/>
          <w:sz w:val="28"/>
        </w:rPr>
        <w:t>在安全教育培训方面，公司始终严格执行安全教育培训制度，本着</w:t>
      </w:r>
      <w:r>
        <w:rPr>
          <w:rFonts w:hint="eastAsia"/>
          <w:sz w:val="28"/>
          <w:lang w:eastAsia="zh-CN"/>
        </w:rPr>
        <w:t>“</w:t>
      </w:r>
      <w:r>
        <w:rPr>
          <w:rFonts w:hint="eastAsia"/>
          <w:sz w:val="28"/>
        </w:rPr>
        <w:t>培训指导于生产，培训服务于生产</w:t>
      </w:r>
      <w:r>
        <w:rPr>
          <w:rFonts w:hint="eastAsia"/>
          <w:sz w:val="28"/>
          <w:lang w:eastAsia="zh-CN"/>
        </w:rPr>
        <w:t>”</w:t>
      </w:r>
      <w:r>
        <w:rPr>
          <w:rFonts w:hint="eastAsia"/>
          <w:sz w:val="28"/>
        </w:rPr>
        <w:t>的指导思想，坚持</w:t>
      </w:r>
      <w:r>
        <w:rPr>
          <w:rFonts w:hint="eastAsia"/>
          <w:sz w:val="28"/>
          <w:lang w:eastAsia="zh-CN"/>
        </w:rPr>
        <w:t>“</w:t>
      </w:r>
      <w:r>
        <w:rPr>
          <w:rFonts w:hint="eastAsia"/>
          <w:sz w:val="28"/>
        </w:rPr>
        <w:t>立足实际、突出重点、讲求实效</w:t>
      </w:r>
      <w:r>
        <w:rPr>
          <w:rFonts w:hint="eastAsia"/>
          <w:sz w:val="28"/>
          <w:lang w:eastAsia="zh-CN"/>
        </w:rPr>
        <w:t>”</w:t>
      </w:r>
      <w:r>
        <w:rPr>
          <w:rFonts w:hint="eastAsia"/>
          <w:sz w:val="28"/>
        </w:rPr>
        <w:t>的工作原则，积极采取各种措施，分层次、分专业有效的开展一系列安全教育培训工作。</w:t>
      </w:r>
    </w:p>
    <w:p>
      <w:pPr>
        <w:adjustRightInd w:val="0"/>
        <w:snapToGrid w:val="0"/>
        <w:spacing w:line="360" w:lineRule="auto"/>
        <w:ind w:firstLine="560" w:firstLineChars="200"/>
        <w:rPr>
          <w:rFonts w:hint="default"/>
          <w:sz w:val="28"/>
          <w:lang w:val="en-US" w:eastAsia="zh-CN"/>
        </w:rPr>
      </w:pPr>
      <w:r>
        <w:rPr>
          <w:rFonts w:hint="eastAsia"/>
          <w:sz w:val="28"/>
          <w:lang w:val="en-US" w:eastAsia="zh-CN"/>
        </w:rPr>
        <w:t>公司制</w:t>
      </w:r>
      <w:r>
        <w:rPr>
          <w:rFonts w:hint="eastAsia"/>
          <w:color w:val="auto"/>
          <w:sz w:val="28"/>
          <w:lang w:val="en-US" w:eastAsia="zh-CN"/>
        </w:rPr>
        <w:t>定2021年、2022年安</w:t>
      </w:r>
      <w:r>
        <w:rPr>
          <w:rFonts w:hint="eastAsia"/>
          <w:sz w:val="28"/>
          <w:lang w:val="en-US" w:eastAsia="zh-CN"/>
        </w:rPr>
        <w:t>全教育培训计划，并根据计划组织安全教育培训</w:t>
      </w:r>
      <w:r>
        <w:rPr>
          <w:rFonts w:hint="eastAsia" w:ascii="Times New Roman" w:hAnsi="Times New Roman" w:eastAsia="宋体" w:cs="Times New Roman"/>
          <w:color w:val="auto"/>
          <w:sz w:val="28"/>
          <w:lang w:val="en-US" w:eastAsia="zh-CN"/>
        </w:rPr>
        <w:t>，新上岗的从业人员安全培训时间不少于72学时，每年再培训的时间不少于20学时，符合《</w:t>
      </w:r>
      <w:r>
        <w:rPr>
          <w:rFonts w:hint="eastAsia"/>
          <w:sz w:val="28"/>
        </w:rPr>
        <w:t>生产经营单位安全培训规定》</w:t>
      </w:r>
      <w:r>
        <w:rPr>
          <w:rFonts w:hint="eastAsia"/>
          <w:sz w:val="28"/>
          <w:lang w:eastAsia="zh-CN"/>
        </w:rPr>
        <w:t>（</w:t>
      </w:r>
      <w:r>
        <w:rPr>
          <w:rFonts w:hint="eastAsia"/>
          <w:sz w:val="28"/>
        </w:rPr>
        <w:t>国家安全监督管理总局令[2006]第3号，2015修订版</w:t>
      </w:r>
      <w:r>
        <w:rPr>
          <w:rFonts w:hint="eastAsia"/>
          <w:sz w:val="28"/>
          <w:lang w:eastAsia="zh-CN"/>
        </w:rPr>
        <w:t>）</w:t>
      </w:r>
      <w:r>
        <w:rPr>
          <w:rFonts w:hint="eastAsia"/>
          <w:sz w:val="28"/>
          <w:lang w:val="en-US" w:eastAsia="zh-CN"/>
        </w:rPr>
        <w:t>第十三条规定，</w:t>
      </w:r>
      <w:r>
        <w:rPr>
          <w:rFonts w:hint="eastAsia" w:ascii="Times New Roman" w:hAnsi="Times New Roman" w:eastAsia="宋体" w:cs="Times New Roman"/>
          <w:color w:val="auto"/>
          <w:sz w:val="28"/>
          <w:lang w:val="en-US" w:eastAsia="zh-CN"/>
        </w:rPr>
        <w:t>相</w:t>
      </w:r>
      <w:r>
        <w:rPr>
          <w:rFonts w:hint="eastAsia"/>
          <w:sz w:val="28"/>
          <w:lang w:val="en-US" w:eastAsia="zh-CN"/>
        </w:rPr>
        <w:t>关教育培训材料详见报告附件18。</w:t>
      </w:r>
    </w:p>
    <w:p>
      <w:pPr>
        <w:pStyle w:val="6"/>
        <w:adjustRightInd w:val="0"/>
        <w:snapToGrid w:val="0"/>
        <w:spacing w:before="0" w:after="0" w:line="360" w:lineRule="auto"/>
        <w:rPr>
          <w:rFonts w:eastAsia="黑体"/>
          <w:b w:val="0"/>
          <w:snapToGrid w:val="0"/>
          <w:kern w:val="0"/>
          <w:sz w:val="28"/>
          <w:szCs w:val="28"/>
        </w:rPr>
      </w:pPr>
      <w:r>
        <w:rPr>
          <w:rFonts w:eastAsia="黑体"/>
          <w:b w:val="0"/>
          <w:snapToGrid w:val="0"/>
          <w:kern w:val="0"/>
          <w:sz w:val="28"/>
          <w:szCs w:val="28"/>
        </w:rPr>
        <w:t xml:space="preserve">2.7.1 </w:t>
      </w:r>
      <w:r>
        <w:rPr>
          <w:rFonts w:hint="eastAsia" w:eastAsia="黑体"/>
          <w:b w:val="0"/>
          <w:snapToGrid w:val="0"/>
          <w:kern w:val="0"/>
          <w:sz w:val="28"/>
          <w:szCs w:val="28"/>
        </w:rPr>
        <w:t>主要负责人和安全管理人员安全生产知识和管理能力及培训持证情况</w:t>
      </w:r>
    </w:p>
    <w:p>
      <w:pPr>
        <w:adjustRightInd w:val="0"/>
        <w:snapToGrid w:val="0"/>
        <w:spacing w:line="360" w:lineRule="auto"/>
        <w:ind w:firstLine="560" w:firstLineChars="200"/>
        <w:rPr>
          <w:sz w:val="28"/>
          <w:szCs w:val="28"/>
        </w:rPr>
      </w:pPr>
      <w:r>
        <w:rPr>
          <w:rFonts w:hint="eastAsia"/>
          <w:color w:val="auto"/>
          <w:sz w:val="28"/>
          <w:szCs w:val="28"/>
        </w:rPr>
        <w:t>根据《中华人民共和国安全生产法》（</w:t>
      </w:r>
      <w:r>
        <w:rPr>
          <w:rFonts w:hint="default" w:ascii="Times New Roman" w:hAnsi="Times New Roman" w:cs="Times New Roman"/>
          <w:color w:val="auto"/>
          <w:sz w:val="28"/>
          <w:szCs w:val="28"/>
          <w:highlight w:val="none"/>
        </w:rPr>
        <w:t>主席令[20</w:t>
      </w:r>
      <w:r>
        <w:rPr>
          <w:rFonts w:hint="default" w:ascii="Times New Roman" w:hAnsi="Times New Roman" w:cs="Times New Roman"/>
          <w:color w:val="auto"/>
          <w:sz w:val="28"/>
          <w:szCs w:val="28"/>
          <w:highlight w:val="none"/>
          <w:lang w:val="en-US" w:eastAsia="zh-CN"/>
        </w:rPr>
        <w:t>21</w:t>
      </w:r>
      <w:r>
        <w:rPr>
          <w:rFonts w:hint="default" w:ascii="Times New Roman" w:hAnsi="Times New Roman" w:cs="Times New Roman"/>
          <w:color w:val="auto"/>
          <w:sz w:val="28"/>
          <w:szCs w:val="28"/>
          <w:highlight w:val="none"/>
        </w:rPr>
        <w:t>]第</w:t>
      </w:r>
      <w:r>
        <w:rPr>
          <w:rFonts w:hint="default" w:ascii="Times New Roman" w:hAnsi="Times New Roman" w:cs="Times New Roman"/>
          <w:color w:val="auto"/>
          <w:sz w:val="28"/>
          <w:szCs w:val="28"/>
          <w:highlight w:val="none"/>
          <w:lang w:val="en-US" w:eastAsia="zh-CN"/>
        </w:rPr>
        <w:t>88</w:t>
      </w:r>
      <w:r>
        <w:rPr>
          <w:rFonts w:hint="default" w:ascii="Times New Roman" w:hAnsi="Times New Roman" w:cs="Times New Roman"/>
          <w:color w:val="auto"/>
          <w:sz w:val="28"/>
          <w:szCs w:val="28"/>
          <w:highlight w:val="none"/>
        </w:rPr>
        <w:t>号</w:t>
      </w:r>
      <w:r>
        <w:rPr>
          <w:rFonts w:hint="eastAsia" w:cs="Times New Roman"/>
          <w:color w:val="auto"/>
          <w:sz w:val="28"/>
          <w:szCs w:val="28"/>
          <w:highlight w:val="none"/>
          <w:lang w:val="en-US" w:eastAsia="zh-CN"/>
        </w:rPr>
        <w:t>修订</w:t>
      </w:r>
      <w:r>
        <w:rPr>
          <w:rFonts w:hint="eastAsia"/>
          <w:color w:val="auto"/>
          <w:sz w:val="28"/>
          <w:szCs w:val="28"/>
        </w:rPr>
        <w:t>）第二十</w:t>
      </w:r>
      <w:r>
        <w:rPr>
          <w:rFonts w:hint="eastAsia"/>
          <w:color w:val="auto"/>
          <w:sz w:val="28"/>
          <w:szCs w:val="28"/>
          <w:lang w:val="en-US" w:eastAsia="zh-CN"/>
        </w:rPr>
        <w:t>七</w:t>
      </w:r>
      <w:r>
        <w:rPr>
          <w:rFonts w:hint="eastAsia"/>
          <w:color w:val="auto"/>
          <w:sz w:val="28"/>
          <w:szCs w:val="28"/>
        </w:rPr>
        <w:t>条</w:t>
      </w:r>
      <w:r>
        <w:rPr>
          <w:rFonts w:hint="eastAsia"/>
          <w:color w:val="auto"/>
          <w:sz w:val="28"/>
          <w:szCs w:val="28"/>
          <w:lang w:eastAsia="zh-CN"/>
        </w:rPr>
        <w:t>：“</w:t>
      </w:r>
      <w:r>
        <w:rPr>
          <w:rFonts w:hint="eastAsia"/>
          <w:sz w:val="28"/>
          <w:szCs w:val="28"/>
        </w:rPr>
        <w:t>矿山单位的主要负责人和安全生产管理人员，应当由主管的负有安全生产监督管理职责的部门对其安全生产知识和管理能力考核合格。矿山单位应当有注册安全工程师从事安全生产管理工作</w:t>
      </w:r>
      <w:r>
        <w:rPr>
          <w:rFonts w:hint="eastAsia"/>
          <w:sz w:val="28"/>
          <w:szCs w:val="28"/>
          <w:lang w:eastAsia="zh-CN"/>
        </w:rPr>
        <w:t>”</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color w:val="auto"/>
          <w:sz w:val="28"/>
          <w:szCs w:val="28"/>
          <w:lang w:eastAsia="zh-CN"/>
        </w:rPr>
        <w:t>《</w:t>
      </w:r>
      <w:r>
        <w:rPr>
          <w:rFonts w:hint="eastAsia"/>
          <w:color w:val="auto"/>
          <w:sz w:val="28"/>
          <w:szCs w:val="28"/>
        </w:rPr>
        <w:t>生产经营单位安全培训规定</w:t>
      </w:r>
      <w:r>
        <w:rPr>
          <w:rFonts w:hint="eastAsia"/>
          <w:color w:val="auto"/>
          <w:sz w:val="28"/>
          <w:szCs w:val="28"/>
          <w:lang w:eastAsia="zh-CN"/>
        </w:rPr>
        <w:t>》（</w:t>
      </w:r>
      <w:r>
        <w:rPr>
          <w:rFonts w:hint="eastAsia"/>
          <w:color w:val="auto"/>
          <w:sz w:val="28"/>
          <w:szCs w:val="28"/>
          <w:lang w:val="en-US" w:eastAsia="zh-CN"/>
        </w:rPr>
        <w:t>原国家安监总局令第3号，2015年修订</w:t>
      </w:r>
      <w:r>
        <w:rPr>
          <w:rFonts w:hint="eastAsia"/>
          <w:color w:val="auto"/>
          <w:sz w:val="28"/>
          <w:szCs w:val="28"/>
          <w:lang w:eastAsia="zh-CN"/>
        </w:rPr>
        <w:t>）</w:t>
      </w:r>
      <w:r>
        <w:rPr>
          <w:rFonts w:hint="eastAsia"/>
          <w:color w:val="auto"/>
          <w:sz w:val="28"/>
          <w:szCs w:val="28"/>
          <w:lang w:val="en-US" w:eastAsia="zh-CN"/>
        </w:rPr>
        <w:t>第二十四</w:t>
      </w:r>
      <w:r>
        <w:rPr>
          <w:rFonts w:hint="eastAsia"/>
          <w:color w:val="auto"/>
          <w:sz w:val="28"/>
          <w:szCs w:val="28"/>
        </w:rPr>
        <w:t>条</w:t>
      </w:r>
      <w:r>
        <w:rPr>
          <w:rFonts w:hint="eastAsia"/>
          <w:color w:val="auto"/>
          <w:sz w:val="28"/>
          <w:szCs w:val="28"/>
          <w:lang w:eastAsia="zh-CN"/>
        </w:rPr>
        <w:t>：“</w:t>
      </w:r>
      <w:r>
        <w:rPr>
          <w:rFonts w:hint="eastAsia"/>
          <w:sz w:val="28"/>
          <w:szCs w:val="28"/>
        </w:rPr>
        <w:t>煤矿、非煤矿山、危险化学品、烟花爆竹、金属冶炼等生产经营单位主要负责人和安全生产管理人员，自任职之日起6个月内，必须经安全生产监管监察部门对其安全生产知识和管理能力考核合格</w:t>
      </w:r>
      <w:r>
        <w:rPr>
          <w:rFonts w:hint="eastAsia"/>
          <w:sz w:val="28"/>
          <w:szCs w:val="28"/>
          <w:lang w:eastAsia="zh-CN"/>
        </w:rPr>
        <w:t>”</w:t>
      </w:r>
      <w:r>
        <w:rPr>
          <w:rFonts w:hint="eastAsia"/>
          <w:sz w:val="28"/>
          <w:szCs w:val="28"/>
        </w:rPr>
        <w:t>。</w:t>
      </w:r>
    </w:p>
    <w:p>
      <w:pPr>
        <w:adjustRightInd w:val="0"/>
        <w:snapToGrid w:val="0"/>
        <w:spacing w:line="360" w:lineRule="auto"/>
        <w:ind w:firstLine="560" w:firstLineChars="200"/>
        <w:rPr>
          <w:rFonts w:hint="eastAsia"/>
          <w:sz w:val="28"/>
          <w:szCs w:val="28"/>
          <w:lang w:eastAsia="zh-CN"/>
        </w:rPr>
      </w:pPr>
      <w:r>
        <w:rPr>
          <w:rFonts w:hint="eastAsia"/>
          <w:sz w:val="28"/>
          <w:szCs w:val="28"/>
          <w:lang w:eastAsia="zh-CN"/>
        </w:rPr>
        <w:t>斯伦贝谢油田技术（山东）有限公司</w:t>
      </w:r>
      <w:r>
        <w:rPr>
          <w:rFonts w:hint="eastAsia"/>
          <w:sz w:val="28"/>
          <w:szCs w:val="28"/>
        </w:rPr>
        <w:t>主要负责人、专职安全管理人员经具有资质的单位培训，并经东营市应急管理局考核合格，人员取证情况见</w:t>
      </w:r>
      <w:r>
        <w:rPr>
          <w:rFonts w:hint="eastAsia"/>
          <w:sz w:val="28"/>
          <w:szCs w:val="28"/>
          <w:lang w:eastAsia="zh-CN"/>
        </w:rPr>
        <w:t>下表</w:t>
      </w:r>
      <w:bookmarkStart w:id="31" w:name="_Hlk1845950"/>
      <w:r>
        <w:rPr>
          <w:rFonts w:hint="eastAsia"/>
          <w:sz w:val="28"/>
          <w:szCs w:val="28"/>
          <w:lang w:eastAsia="zh-CN"/>
        </w:rPr>
        <w:t>（</w:t>
      </w:r>
      <w:r>
        <w:rPr>
          <w:rFonts w:hint="eastAsia"/>
          <w:sz w:val="28"/>
          <w:szCs w:val="28"/>
          <w:lang w:val="en-US" w:eastAsia="zh-CN"/>
        </w:rPr>
        <w:t>该公司法人何凤祥原因疫情防控滞留国外，无法开展安全合格证的复审</w:t>
      </w:r>
      <w:r>
        <w:rPr>
          <w:rFonts w:hint="eastAsia"/>
          <w:color w:val="auto"/>
          <w:sz w:val="28"/>
          <w:szCs w:val="28"/>
          <w:lang w:val="en-US" w:eastAsia="zh-CN"/>
        </w:rPr>
        <w:t>工作，授</w:t>
      </w:r>
      <w:r>
        <w:rPr>
          <w:rFonts w:hint="eastAsia"/>
          <w:sz w:val="28"/>
          <w:szCs w:val="28"/>
          <w:lang w:val="en-US" w:eastAsia="zh-CN"/>
        </w:rPr>
        <w:t>权刘国渝同志全权代表单位行使法人权力和义务，出具有授权委托书，有效期5个月，授权文件详见报告附件5，现何凤祥已复审考核合格）</w:t>
      </w:r>
      <w:r>
        <w:rPr>
          <w:rFonts w:hint="eastAsia"/>
          <w:sz w:val="28"/>
          <w:szCs w:val="28"/>
          <w:lang w:eastAsia="zh-CN"/>
        </w:rPr>
        <w:t>。</w:t>
      </w:r>
    </w:p>
    <w:p>
      <w:pPr>
        <w:adjustRightInd w:val="0"/>
        <w:snapToGrid w:val="0"/>
        <w:spacing w:line="360" w:lineRule="auto"/>
        <w:ind w:firstLine="560" w:firstLineChars="200"/>
        <w:rPr>
          <w:sz w:val="28"/>
          <w:szCs w:val="28"/>
        </w:rPr>
      </w:pPr>
      <w:r>
        <w:rPr>
          <w:rFonts w:hint="eastAsia"/>
          <w:sz w:val="28"/>
          <w:szCs w:val="28"/>
          <w:lang w:val="en-US" w:eastAsia="zh-CN"/>
        </w:rPr>
        <w:t>该公司安全管理人员王天梦已于2022年8月2日取得陆上石油天然气开采类型的安全生产管理人员证书（发证机关为陕西省应急管理厅），</w:t>
      </w:r>
      <w:r>
        <w:rPr>
          <w:rFonts w:hint="eastAsia"/>
          <w:sz w:val="28"/>
          <w:szCs w:val="28"/>
          <w:lang w:eastAsia="zh-CN"/>
        </w:rPr>
        <w:t>详见报告附件</w:t>
      </w:r>
      <w:r>
        <w:rPr>
          <w:rFonts w:hint="eastAsia"/>
          <w:sz w:val="28"/>
          <w:szCs w:val="28"/>
          <w:lang w:val="en-US" w:eastAsia="zh-CN"/>
        </w:rPr>
        <w:t>7</w:t>
      </w:r>
      <w:r>
        <w:rPr>
          <w:rFonts w:hint="eastAsia"/>
          <w:sz w:val="28"/>
          <w:szCs w:val="28"/>
        </w:rPr>
        <w:t>。</w:t>
      </w:r>
    </w:p>
    <w:bookmarkEnd w:id="31"/>
    <w:p>
      <w:pPr>
        <w:adjustRightInd w:val="0"/>
        <w:snapToGrid w:val="0"/>
        <w:spacing w:line="360" w:lineRule="auto"/>
        <w:jc w:val="center"/>
        <w:rPr>
          <w:b/>
          <w:bCs/>
          <w:sz w:val="24"/>
          <w:szCs w:val="28"/>
        </w:rPr>
      </w:pPr>
      <w:r>
        <w:rPr>
          <w:rFonts w:hint="eastAsia"/>
          <w:b/>
          <w:bCs/>
          <w:sz w:val="24"/>
          <w:szCs w:val="28"/>
        </w:rPr>
        <w:t>表</w:t>
      </w:r>
      <w:r>
        <w:rPr>
          <w:b/>
          <w:bCs/>
          <w:sz w:val="24"/>
          <w:szCs w:val="28"/>
        </w:rPr>
        <w:t>2</w:t>
      </w:r>
      <w:r>
        <w:rPr>
          <w:rFonts w:hint="eastAsia"/>
          <w:b/>
          <w:bCs/>
          <w:sz w:val="24"/>
          <w:szCs w:val="28"/>
          <w:lang w:val="en-US" w:eastAsia="zh-CN"/>
        </w:rPr>
        <w:t>.7</w:t>
      </w:r>
      <w:r>
        <w:rPr>
          <w:rFonts w:hint="eastAsia"/>
          <w:b/>
          <w:bCs/>
          <w:sz w:val="24"/>
          <w:szCs w:val="28"/>
        </w:rPr>
        <w:t>-</w:t>
      </w:r>
      <w:r>
        <w:rPr>
          <w:rFonts w:hint="eastAsia"/>
          <w:b/>
          <w:bCs/>
          <w:sz w:val="24"/>
          <w:szCs w:val="28"/>
          <w:lang w:val="en-US" w:eastAsia="zh-CN"/>
        </w:rPr>
        <w:t>1</w:t>
      </w:r>
      <w:r>
        <w:rPr>
          <w:b/>
          <w:bCs/>
          <w:sz w:val="24"/>
          <w:szCs w:val="28"/>
        </w:rPr>
        <w:t xml:space="preserve"> </w:t>
      </w:r>
      <w:r>
        <w:rPr>
          <w:rFonts w:hint="eastAsia"/>
          <w:b/>
          <w:bCs/>
          <w:sz w:val="24"/>
          <w:szCs w:val="28"/>
        </w:rPr>
        <w:t>主要负责人、安全管理人员取证情况一览表</w:t>
      </w:r>
      <w:r>
        <w:rPr>
          <w:rFonts w:hint="eastAsia"/>
          <w:b/>
          <w:bCs/>
          <w:sz w:val="24"/>
          <w:szCs w:val="28"/>
          <w:lang w:eastAsia="zh-CN"/>
        </w:rPr>
        <w:t>（</w:t>
      </w:r>
      <w:r>
        <w:rPr>
          <w:rFonts w:hint="eastAsia"/>
          <w:b/>
          <w:bCs/>
          <w:sz w:val="24"/>
          <w:szCs w:val="28"/>
          <w:lang w:val="en-US" w:eastAsia="zh-CN"/>
        </w:rPr>
        <w:t>涉及公司机密不予以公开</w:t>
      </w:r>
      <w:r>
        <w:rPr>
          <w:rFonts w:hint="eastAsia"/>
          <w:b/>
          <w:bCs/>
          <w:sz w:val="24"/>
          <w:szCs w:val="28"/>
          <w:lang w:eastAsia="zh-CN"/>
        </w:rPr>
        <w:t>）</w:t>
      </w:r>
    </w:p>
    <w:tbl>
      <w:tblPr>
        <w:tblStyle w:val="52"/>
        <w:tblW w:w="82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851"/>
        <w:gridCol w:w="1386"/>
        <w:gridCol w:w="1274"/>
        <w:gridCol w:w="1876"/>
        <w:gridCol w:w="1198"/>
        <w:gridCol w:w="11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55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eastAsia"/>
                <w:b/>
                <w:sz w:val="18"/>
                <w:szCs w:val="18"/>
              </w:rPr>
              <w:t>序号</w:t>
            </w: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eastAsia"/>
                <w:b/>
                <w:sz w:val="18"/>
                <w:szCs w:val="18"/>
              </w:rPr>
              <w:t>姓名</w:t>
            </w:r>
          </w:p>
        </w:tc>
        <w:tc>
          <w:tcPr>
            <w:tcW w:w="138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eastAsia"/>
                <w:b/>
                <w:sz w:val="18"/>
                <w:szCs w:val="18"/>
              </w:rPr>
              <w:t>职务</w:t>
            </w:r>
          </w:p>
        </w:tc>
        <w:tc>
          <w:tcPr>
            <w:tcW w:w="127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eastAsia"/>
                <w:b/>
                <w:sz w:val="18"/>
                <w:szCs w:val="18"/>
              </w:rPr>
              <w:t>持证类型</w:t>
            </w:r>
          </w:p>
        </w:tc>
        <w:tc>
          <w:tcPr>
            <w:tcW w:w="187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eastAsia"/>
                <w:b/>
                <w:sz w:val="18"/>
                <w:szCs w:val="18"/>
              </w:rPr>
              <w:t>证书编号</w:t>
            </w:r>
          </w:p>
        </w:tc>
        <w:tc>
          <w:tcPr>
            <w:tcW w:w="119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eastAsia"/>
                <w:b/>
                <w:sz w:val="18"/>
                <w:szCs w:val="18"/>
              </w:rPr>
              <w:t>有效期</w:t>
            </w:r>
          </w:p>
        </w:tc>
        <w:tc>
          <w:tcPr>
            <w:tcW w:w="11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eastAsia"/>
                <w:b/>
                <w:sz w:val="18"/>
                <w:szCs w:val="18"/>
              </w:rPr>
              <w:t>复审时间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52" w:type="dxa"/>
            <w:vAlign w:val="center"/>
          </w:tcPr>
          <w:p>
            <w:pPr>
              <w:pStyle w:val="125"/>
              <w:keepNext w:val="0"/>
              <w:keepLines w:val="0"/>
              <w:numPr>
                <w:ilvl w:val="0"/>
                <w:numId w:val="12"/>
              </w:numPr>
              <w:suppressLineNumbers w:val="0"/>
              <w:adjustRightInd w:val="0"/>
              <w:snapToGrid w:val="0"/>
              <w:spacing w:before="62" w:beforeLines="20" w:beforeAutospacing="0" w:after="62" w:afterLines="20" w:afterAutospacing="0"/>
              <w:ind w:right="0" w:firstLineChars="0"/>
              <w:jc w:val="center"/>
              <w:rPr>
                <w:rFonts w:hint="default"/>
                <w:sz w:val="18"/>
                <w:szCs w:val="18"/>
              </w:rPr>
            </w:pP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何凤祥</w:t>
            </w:r>
          </w:p>
        </w:tc>
        <w:tc>
          <w:tcPr>
            <w:tcW w:w="138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总经理</w:t>
            </w:r>
          </w:p>
        </w:tc>
        <w:tc>
          <w:tcPr>
            <w:tcW w:w="127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主要负责人</w:t>
            </w:r>
          </w:p>
        </w:tc>
        <w:tc>
          <w:tcPr>
            <w:tcW w:w="187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9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52" w:type="dxa"/>
            <w:vAlign w:val="center"/>
          </w:tcPr>
          <w:p>
            <w:pPr>
              <w:pStyle w:val="125"/>
              <w:keepNext w:val="0"/>
              <w:keepLines w:val="0"/>
              <w:numPr>
                <w:ilvl w:val="0"/>
                <w:numId w:val="12"/>
              </w:numPr>
              <w:suppressLineNumbers w:val="0"/>
              <w:adjustRightInd w:val="0"/>
              <w:snapToGrid w:val="0"/>
              <w:spacing w:before="62" w:beforeLines="20" w:beforeAutospacing="0" w:after="62" w:afterLines="20" w:afterAutospacing="0"/>
              <w:ind w:right="0" w:firstLineChars="0"/>
              <w:jc w:val="center"/>
              <w:rPr>
                <w:rFonts w:hint="default"/>
                <w:sz w:val="18"/>
                <w:szCs w:val="18"/>
              </w:rPr>
            </w:pP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刘国渝</w:t>
            </w:r>
          </w:p>
        </w:tc>
        <w:tc>
          <w:tcPr>
            <w:tcW w:w="138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r>
              <w:rPr>
                <w:rFonts w:hint="eastAsia"/>
                <w:sz w:val="18"/>
                <w:szCs w:val="18"/>
                <w:lang w:val="en-US" w:eastAsia="zh-CN"/>
              </w:rPr>
              <w:t>市场副总经理</w:t>
            </w:r>
          </w:p>
        </w:tc>
        <w:tc>
          <w:tcPr>
            <w:tcW w:w="127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主要负责人</w:t>
            </w:r>
          </w:p>
        </w:tc>
        <w:tc>
          <w:tcPr>
            <w:tcW w:w="187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9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52" w:type="dxa"/>
            <w:vAlign w:val="center"/>
          </w:tcPr>
          <w:p>
            <w:pPr>
              <w:pStyle w:val="125"/>
              <w:keepNext w:val="0"/>
              <w:keepLines w:val="0"/>
              <w:numPr>
                <w:ilvl w:val="0"/>
                <w:numId w:val="12"/>
              </w:numPr>
              <w:suppressLineNumbers w:val="0"/>
              <w:adjustRightInd w:val="0"/>
              <w:snapToGrid w:val="0"/>
              <w:spacing w:before="62" w:beforeLines="20" w:beforeAutospacing="0" w:after="62" w:afterLines="20" w:afterAutospacing="0"/>
              <w:ind w:right="0" w:firstLineChars="0"/>
              <w:jc w:val="center"/>
              <w:rPr>
                <w:rFonts w:hint="default"/>
                <w:sz w:val="18"/>
                <w:szCs w:val="18"/>
              </w:rPr>
            </w:pP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耿淦</w:t>
            </w:r>
          </w:p>
        </w:tc>
        <w:tc>
          <w:tcPr>
            <w:tcW w:w="138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r>
              <w:rPr>
                <w:rFonts w:hint="eastAsia"/>
                <w:sz w:val="18"/>
                <w:szCs w:val="18"/>
                <w:lang w:val="en-US" w:eastAsia="zh-CN"/>
              </w:rPr>
              <w:t>安全副总经理</w:t>
            </w:r>
          </w:p>
        </w:tc>
        <w:tc>
          <w:tcPr>
            <w:tcW w:w="127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安全生产管理人员</w:t>
            </w:r>
          </w:p>
        </w:tc>
        <w:tc>
          <w:tcPr>
            <w:tcW w:w="187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9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52" w:type="dxa"/>
            <w:vAlign w:val="center"/>
          </w:tcPr>
          <w:p>
            <w:pPr>
              <w:pStyle w:val="125"/>
              <w:keepNext w:val="0"/>
              <w:keepLines w:val="0"/>
              <w:numPr>
                <w:ilvl w:val="0"/>
                <w:numId w:val="12"/>
              </w:numPr>
              <w:suppressLineNumbers w:val="0"/>
              <w:adjustRightInd w:val="0"/>
              <w:snapToGrid w:val="0"/>
              <w:spacing w:before="62" w:beforeLines="20" w:beforeAutospacing="0" w:after="62" w:afterLines="20" w:afterAutospacing="0"/>
              <w:ind w:right="0" w:firstLineChars="0"/>
              <w:jc w:val="center"/>
              <w:rPr>
                <w:rFonts w:hint="default"/>
                <w:sz w:val="18"/>
                <w:szCs w:val="18"/>
              </w:rPr>
            </w:pP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r>
              <w:rPr>
                <w:rFonts w:hint="eastAsia"/>
                <w:sz w:val="18"/>
                <w:szCs w:val="18"/>
                <w:lang w:val="en-US" w:eastAsia="zh-CN"/>
              </w:rPr>
              <w:t>张士雄</w:t>
            </w:r>
          </w:p>
        </w:tc>
        <w:tc>
          <w:tcPr>
            <w:tcW w:w="138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r>
              <w:rPr>
                <w:rFonts w:hint="eastAsia"/>
                <w:sz w:val="18"/>
                <w:szCs w:val="18"/>
                <w:lang w:val="en-US" w:eastAsia="zh-CN"/>
              </w:rPr>
              <w:t>安全总监</w:t>
            </w:r>
          </w:p>
        </w:tc>
        <w:tc>
          <w:tcPr>
            <w:tcW w:w="127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 w:val="18"/>
                <w:szCs w:val="18"/>
                <w:lang w:val="en-US" w:eastAsia="zh-CN"/>
              </w:rPr>
            </w:pPr>
            <w:r>
              <w:rPr>
                <w:rFonts w:hint="eastAsia"/>
                <w:sz w:val="18"/>
                <w:szCs w:val="18"/>
                <w:lang w:val="en-US" w:eastAsia="zh-CN"/>
              </w:rPr>
              <w:t>安全生产管理人员</w:t>
            </w:r>
          </w:p>
        </w:tc>
        <w:tc>
          <w:tcPr>
            <w:tcW w:w="187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p>
        </w:tc>
        <w:tc>
          <w:tcPr>
            <w:tcW w:w="119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p>
        </w:tc>
        <w:tc>
          <w:tcPr>
            <w:tcW w:w="11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52" w:type="dxa"/>
            <w:vAlign w:val="center"/>
          </w:tcPr>
          <w:p>
            <w:pPr>
              <w:pStyle w:val="125"/>
              <w:keepNext w:val="0"/>
              <w:keepLines w:val="0"/>
              <w:numPr>
                <w:ilvl w:val="0"/>
                <w:numId w:val="12"/>
              </w:numPr>
              <w:suppressLineNumbers w:val="0"/>
              <w:adjustRightInd w:val="0"/>
              <w:snapToGrid w:val="0"/>
              <w:spacing w:before="62" w:beforeLines="20" w:beforeAutospacing="0" w:after="62" w:afterLines="20" w:afterAutospacing="0"/>
              <w:ind w:right="0" w:firstLineChars="0"/>
              <w:jc w:val="center"/>
              <w:rPr>
                <w:rFonts w:hint="default"/>
                <w:sz w:val="18"/>
                <w:szCs w:val="18"/>
              </w:rPr>
            </w:pP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陈景霞</w:t>
            </w:r>
          </w:p>
        </w:tc>
        <w:tc>
          <w:tcPr>
            <w:tcW w:w="138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专职安全管理人员</w:t>
            </w:r>
          </w:p>
        </w:tc>
        <w:tc>
          <w:tcPr>
            <w:tcW w:w="127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lang w:val="en-US" w:eastAsia="zh-CN"/>
              </w:rPr>
              <w:t>安全生产管理人员</w:t>
            </w:r>
          </w:p>
        </w:tc>
        <w:tc>
          <w:tcPr>
            <w:tcW w:w="187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9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52" w:type="dxa"/>
            <w:vAlign w:val="center"/>
          </w:tcPr>
          <w:p>
            <w:pPr>
              <w:pStyle w:val="125"/>
              <w:keepNext w:val="0"/>
              <w:keepLines w:val="0"/>
              <w:numPr>
                <w:ilvl w:val="0"/>
                <w:numId w:val="12"/>
              </w:numPr>
              <w:suppressLineNumbers w:val="0"/>
              <w:adjustRightInd w:val="0"/>
              <w:snapToGrid w:val="0"/>
              <w:spacing w:before="62" w:beforeLines="20" w:beforeAutospacing="0" w:after="62" w:afterLines="20" w:afterAutospacing="0"/>
              <w:ind w:right="0" w:firstLineChars="0"/>
              <w:jc w:val="center"/>
              <w:rPr>
                <w:rFonts w:hint="default"/>
                <w:sz w:val="18"/>
                <w:szCs w:val="18"/>
              </w:rPr>
            </w:pP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r>
              <w:rPr>
                <w:rFonts w:hint="eastAsia"/>
                <w:sz w:val="18"/>
                <w:szCs w:val="18"/>
                <w:lang w:val="en-US" w:eastAsia="zh-CN"/>
              </w:rPr>
              <w:t>王天梦</w:t>
            </w:r>
          </w:p>
        </w:tc>
        <w:tc>
          <w:tcPr>
            <w:tcW w:w="138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 w:val="18"/>
                <w:szCs w:val="18"/>
                <w:lang w:val="en-US" w:eastAsia="zh-CN"/>
              </w:rPr>
            </w:pPr>
            <w:r>
              <w:rPr>
                <w:rFonts w:hint="eastAsia"/>
                <w:sz w:val="18"/>
                <w:szCs w:val="18"/>
                <w:lang w:val="en-US" w:eastAsia="zh-CN"/>
              </w:rPr>
              <w:t>专职安全管理人员</w:t>
            </w:r>
          </w:p>
        </w:tc>
        <w:tc>
          <w:tcPr>
            <w:tcW w:w="127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 w:val="18"/>
                <w:szCs w:val="18"/>
                <w:lang w:val="en-US" w:eastAsia="zh-CN"/>
              </w:rPr>
            </w:pPr>
            <w:r>
              <w:rPr>
                <w:rFonts w:hint="eastAsia"/>
                <w:sz w:val="18"/>
                <w:szCs w:val="18"/>
                <w:lang w:val="en-US" w:eastAsia="zh-CN"/>
              </w:rPr>
              <w:t>安全生产管理人员</w:t>
            </w:r>
          </w:p>
        </w:tc>
        <w:tc>
          <w:tcPr>
            <w:tcW w:w="187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p>
        </w:tc>
        <w:tc>
          <w:tcPr>
            <w:tcW w:w="119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p>
        </w:tc>
        <w:tc>
          <w:tcPr>
            <w:tcW w:w="11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52" w:type="dxa"/>
            <w:vAlign w:val="center"/>
          </w:tcPr>
          <w:p>
            <w:pPr>
              <w:pStyle w:val="125"/>
              <w:keepNext w:val="0"/>
              <w:keepLines w:val="0"/>
              <w:numPr>
                <w:ilvl w:val="0"/>
                <w:numId w:val="12"/>
              </w:numPr>
              <w:suppressLineNumbers w:val="0"/>
              <w:adjustRightInd w:val="0"/>
              <w:snapToGrid w:val="0"/>
              <w:spacing w:before="62" w:beforeLines="20" w:beforeAutospacing="0" w:after="62" w:afterLines="20" w:afterAutospacing="0"/>
              <w:ind w:right="0" w:firstLineChars="0"/>
              <w:jc w:val="center"/>
              <w:rPr>
                <w:rFonts w:hint="default"/>
                <w:sz w:val="18"/>
                <w:szCs w:val="18"/>
              </w:rPr>
            </w:pP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lang w:val="en-US" w:eastAsia="zh-CN"/>
              </w:rPr>
              <w:t>隋维县</w:t>
            </w:r>
          </w:p>
        </w:tc>
        <w:tc>
          <w:tcPr>
            <w:tcW w:w="138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 w:val="18"/>
                <w:szCs w:val="18"/>
                <w:lang w:val="en-US" w:eastAsia="zh-CN"/>
              </w:rPr>
            </w:pPr>
            <w:r>
              <w:rPr>
                <w:rFonts w:hint="eastAsia"/>
                <w:sz w:val="18"/>
                <w:szCs w:val="18"/>
                <w:lang w:val="en-US" w:eastAsia="zh-CN"/>
              </w:rPr>
              <w:t>专职安全管理人员</w:t>
            </w:r>
          </w:p>
        </w:tc>
        <w:tc>
          <w:tcPr>
            <w:tcW w:w="127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lang w:val="en-US" w:eastAsia="zh-CN"/>
              </w:rPr>
              <w:t>安全生产管理人员</w:t>
            </w:r>
          </w:p>
        </w:tc>
        <w:tc>
          <w:tcPr>
            <w:tcW w:w="1876"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9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c>
          <w:tcPr>
            <w:tcW w:w="11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 w:val="18"/>
                <w:szCs w:val="18"/>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sz w:val="28"/>
          <w:szCs w:val="28"/>
        </w:rPr>
      </w:pPr>
      <w:r>
        <w:rPr>
          <w:rFonts w:hint="eastAsia"/>
          <w:sz w:val="28"/>
          <w:szCs w:val="28"/>
        </w:rPr>
        <w:t>综上，公司主要负责人和安全管理人员安全生产知识和管理能力，培训持证情况符合相关要求。</w:t>
      </w:r>
    </w:p>
    <w:p>
      <w:pPr>
        <w:pStyle w:val="6"/>
        <w:adjustRightInd w:val="0"/>
        <w:snapToGrid w:val="0"/>
        <w:spacing w:before="0" w:after="0" w:line="360" w:lineRule="auto"/>
        <w:rPr>
          <w:rFonts w:eastAsia="黑体"/>
          <w:b w:val="0"/>
          <w:snapToGrid w:val="0"/>
          <w:kern w:val="0"/>
          <w:sz w:val="28"/>
          <w:szCs w:val="28"/>
        </w:rPr>
      </w:pPr>
      <w:r>
        <w:rPr>
          <w:rFonts w:eastAsia="黑体"/>
          <w:b w:val="0"/>
          <w:snapToGrid w:val="0"/>
          <w:kern w:val="0"/>
          <w:sz w:val="28"/>
          <w:szCs w:val="28"/>
        </w:rPr>
        <w:t xml:space="preserve">2.7.2 </w:t>
      </w:r>
      <w:r>
        <w:rPr>
          <w:rFonts w:hint="eastAsia" w:eastAsia="黑体"/>
          <w:b w:val="0"/>
          <w:snapToGrid w:val="0"/>
          <w:kern w:val="0"/>
          <w:sz w:val="28"/>
          <w:szCs w:val="28"/>
          <w:lang w:val="en-US" w:eastAsia="zh-CN"/>
        </w:rPr>
        <w:t>特种设备作业人员、特种作业人员</w:t>
      </w:r>
      <w:r>
        <w:rPr>
          <w:rFonts w:hint="eastAsia" w:eastAsia="黑体"/>
          <w:b w:val="0"/>
          <w:snapToGrid w:val="0"/>
          <w:kern w:val="0"/>
          <w:sz w:val="28"/>
          <w:szCs w:val="28"/>
        </w:rPr>
        <w:t>教育培训及持证情况</w:t>
      </w:r>
    </w:p>
    <w:p>
      <w:pPr>
        <w:adjustRightInd w:val="0"/>
        <w:snapToGrid w:val="0"/>
        <w:spacing w:line="360" w:lineRule="auto"/>
        <w:ind w:firstLine="560" w:firstLineChars="200"/>
        <w:rPr>
          <w:rFonts w:hint="eastAsia"/>
          <w:b w:val="0"/>
          <w:bCs w:val="0"/>
          <w:sz w:val="28"/>
          <w:szCs w:val="28"/>
          <w:u w:val="none"/>
        </w:rPr>
      </w:pPr>
      <w:r>
        <w:rPr>
          <w:rFonts w:hint="eastAsia"/>
          <w:b w:val="0"/>
          <w:bCs w:val="0"/>
          <w:sz w:val="28"/>
          <w:szCs w:val="28"/>
          <w:u w:val="none"/>
        </w:rPr>
        <w:t>目前，该企业</w:t>
      </w:r>
      <w:r>
        <w:rPr>
          <w:rFonts w:hint="eastAsia"/>
          <w:b w:val="0"/>
          <w:bCs w:val="0"/>
          <w:sz w:val="28"/>
          <w:szCs w:val="28"/>
          <w:u w:val="none"/>
          <w:lang w:val="en-US" w:eastAsia="zh-CN"/>
        </w:rPr>
        <w:t>钻井（定向施工）项目不涉及特种设备作业人员以及特种作业人员</w:t>
      </w:r>
      <w:r>
        <w:rPr>
          <w:rFonts w:hint="eastAsia"/>
          <w:b w:val="0"/>
          <w:bCs w:val="0"/>
          <w:sz w:val="28"/>
          <w:szCs w:val="28"/>
          <w:u w:val="none"/>
        </w:rPr>
        <w:t>。</w:t>
      </w:r>
    </w:p>
    <w:p>
      <w:pPr>
        <w:pStyle w:val="6"/>
        <w:adjustRightInd w:val="0"/>
        <w:snapToGrid w:val="0"/>
        <w:spacing w:before="0" w:after="0" w:line="360" w:lineRule="auto"/>
        <w:rPr>
          <w:rFonts w:eastAsia="黑体"/>
          <w:b w:val="0"/>
          <w:snapToGrid w:val="0"/>
          <w:kern w:val="0"/>
          <w:sz w:val="28"/>
          <w:szCs w:val="28"/>
        </w:rPr>
      </w:pPr>
      <w:r>
        <w:rPr>
          <w:rFonts w:eastAsia="黑体"/>
          <w:b w:val="0"/>
          <w:snapToGrid w:val="0"/>
          <w:kern w:val="0"/>
          <w:sz w:val="28"/>
          <w:szCs w:val="28"/>
        </w:rPr>
        <w:t>2.7.</w:t>
      </w:r>
      <w:r>
        <w:rPr>
          <w:rFonts w:hint="eastAsia" w:eastAsia="黑体"/>
          <w:b w:val="0"/>
          <w:snapToGrid w:val="0"/>
          <w:kern w:val="0"/>
          <w:sz w:val="28"/>
          <w:szCs w:val="28"/>
          <w:lang w:val="en-US" w:eastAsia="zh-CN"/>
        </w:rPr>
        <w:t>3</w:t>
      </w:r>
      <w:r>
        <w:rPr>
          <w:rFonts w:eastAsia="黑体"/>
          <w:b w:val="0"/>
          <w:snapToGrid w:val="0"/>
          <w:kern w:val="0"/>
          <w:sz w:val="28"/>
          <w:szCs w:val="28"/>
        </w:rPr>
        <w:t xml:space="preserve"> </w:t>
      </w:r>
      <w:r>
        <w:rPr>
          <w:rFonts w:hint="eastAsia" w:eastAsia="黑体"/>
          <w:b w:val="0"/>
          <w:snapToGrid w:val="0"/>
          <w:kern w:val="0"/>
          <w:sz w:val="28"/>
          <w:szCs w:val="28"/>
          <w:lang w:val="en-US" w:eastAsia="zh-CN"/>
        </w:rPr>
        <w:t>其他从业人员</w:t>
      </w:r>
      <w:r>
        <w:rPr>
          <w:rFonts w:hint="eastAsia" w:eastAsia="黑体"/>
          <w:b w:val="0"/>
          <w:snapToGrid w:val="0"/>
          <w:kern w:val="0"/>
          <w:sz w:val="28"/>
          <w:szCs w:val="28"/>
        </w:rPr>
        <w:t>教育培训及持证情况</w:t>
      </w:r>
    </w:p>
    <w:p>
      <w:pPr>
        <w:adjustRightInd w:val="0"/>
        <w:snapToGrid w:val="0"/>
        <w:spacing w:line="360" w:lineRule="auto"/>
        <w:ind w:firstLine="560" w:firstLineChars="200"/>
        <w:rPr>
          <w:rFonts w:hint="eastAsia"/>
          <w:color w:val="auto"/>
          <w:sz w:val="28"/>
        </w:rPr>
      </w:pPr>
      <w:r>
        <w:rPr>
          <w:rFonts w:hint="eastAsia"/>
          <w:b w:val="0"/>
          <w:bCs w:val="0"/>
          <w:color w:val="auto"/>
          <w:sz w:val="28"/>
          <w:u w:val="none"/>
          <w:lang w:eastAsia="zh-CN"/>
        </w:rPr>
        <w:t>斯伦贝谢油田技术（山东）有限公司</w:t>
      </w:r>
      <w:r>
        <w:rPr>
          <w:rFonts w:hint="eastAsia"/>
          <w:b w:val="0"/>
          <w:bCs w:val="0"/>
          <w:color w:val="auto"/>
          <w:sz w:val="28"/>
          <w:u w:val="none"/>
          <w:lang w:val="en-US" w:eastAsia="zh-CN"/>
        </w:rPr>
        <w:t>共设有7个项目部，设有项目部经理、项目部副经理以及仪器/工程施工人员等，</w:t>
      </w:r>
      <w:r>
        <w:rPr>
          <w:rFonts w:hint="eastAsia"/>
          <w:color w:val="auto"/>
          <w:sz w:val="28"/>
          <w:lang w:val="en-US" w:eastAsia="zh-CN"/>
        </w:rPr>
        <w:t>负责现场安全监督检查的安全管理人员、项目部人员</w:t>
      </w:r>
      <w:r>
        <w:rPr>
          <w:rFonts w:hint="eastAsia"/>
          <w:color w:val="auto"/>
          <w:sz w:val="28"/>
        </w:rPr>
        <w:t>持有硫化氢防护培训合格证、井控培训合格证和健康安全环境管理培训证书</w:t>
      </w:r>
      <w:r>
        <w:rPr>
          <w:rFonts w:hint="eastAsia"/>
          <w:color w:val="auto"/>
          <w:sz w:val="28"/>
          <w:lang w:eastAsia="zh-CN"/>
        </w:rPr>
        <w:t>，</w:t>
      </w:r>
      <w:r>
        <w:rPr>
          <w:rFonts w:hint="eastAsia"/>
          <w:color w:val="auto"/>
          <w:sz w:val="28"/>
        </w:rPr>
        <w:t>具体持证情况见下表。</w:t>
      </w:r>
    </w:p>
    <w:p>
      <w:pPr>
        <w:adjustRightInd w:val="0"/>
        <w:snapToGrid w:val="0"/>
        <w:spacing w:line="360" w:lineRule="auto"/>
        <w:jc w:val="center"/>
        <w:rPr>
          <w:rFonts w:hint="eastAsia"/>
          <w:b/>
          <w:bCs/>
          <w:sz w:val="24"/>
          <w:szCs w:val="28"/>
          <w:lang w:val="en-US" w:eastAsia="zh-CN"/>
        </w:rPr>
      </w:pPr>
      <w:r>
        <w:rPr>
          <w:rFonts w:hint="eastAsia"/>
          <w:b/>
          <w:bCs/>
          <w:sz w:val="24"/>
          <w:szCs w:val="28"/>
          <w:lang w:val="en-US" w:eastAsia="zh-CN"/>
        </w:rPr>
        <w:t>表2.7-2  人员持证情况一览表</w:t>
      </w:r>
      <w:r>
        <w:rPr>
          <w:rFonts w:hint="eastAsia"/>
          <w:b/>
          <w:bCs/>
          <w:sz w:val="24"/>
          <w:szCs w:val="28"/>
          <w:lang w:eastAsia="zh-CN"/>
        </w:rPr>
        <w:t>（</w:t>
      </w:r>
      <w:r>
        <w:rPr>
          <w:rFonts w:hint="eastAsia"/>
          <w:b/>
          <w:bCs/>
          <w:sz w:val="24"/>
          <w:szCs w:val="28"/>
          <w:lang w:val="en-US" w:eastAsia="zh-CN"/>
        </w:rPr>
        <w:t>涉及公司机密不予以公开</w:t>
      </w:r>
      <w:r>
        <w:rPr>
          <w:rFonts w:hint="eastAsia"/>
          <w:b/>
          <w:bCs/>
          <w:sz w:val="24"/>
          <w:szCs w:val="28"/>
          <w:lang w:eastAsia="zh-CN"/>
        </w:rPr>
        <w:t>）</w:t>
      </w:r>
    </w:p>
    <w:tbl>
      <w:tblPr>
        <w:tblStyle w:val="52"/>
        <w:tblW w:w="510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04"/>
        <w:gridCol w:w="2303"/>
        <w:gridCol w:w="1691"/>
        <w:gridCol w:w="12"/>
        <w:gridCol w:w="1040"/>
        <w:gridCol w:w="1086"/>
        <w:gridCol w:w="10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default"/>
                <w:b/>
                <w:sz w:val="18"/>
                <w:szCs w:val="18"/>
              </w:rPr>
              <w:t>序号</w:t>
            </w:r>
          </w:p>
        </w:tc>
        <w:tc>
          <w:tcPr>
            <w:tcW w:w="46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default"/>
                <w:b/>
                <w:sz w:val="18"/>
                <w:szCs w:val="18"/>
              </w:rPr>
              <w:t>姓名</w:t>
            </w:r>
          </w:p>
        </w:tc>
        <w:tc>
          <w:tcPr>
            <w:tcW w:w="132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default"/>
                <w:b/>
                <w:sz w:val="18"/>
                <w:szCs w:val="18"/>
              </w:rPr>
              <w:t>持证类型</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default"/>
                <w:b/>
                <w:sz w:val="18"/>
                <w:szCs w:val="18"/>
              </w:rPr>
              <w:t>证书编号</w:t>
            </w: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default"/>
                <w:b/>
                <w:sz w:val="18"/>
                <w:szCs w:val="18"/>
              </w:rPr>
              <w:t>有效期至</w:t>
            </w:r>
          </w:p>
        </w:tc>
        <w:tc>
          <w:tcPr>
            <w:tcW w:w="62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default"/>
                <w:b/>
                <w:sz w:val="18"/>
                <w:szCs w:val="18"/>
              </w:rPr>
              <w:t>岗位</w:t>
            </w:r>
          </w:p>
        </w:tc>
        <w:tc>
          <w:tcPr>
            <w:tcW w:w="598"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sz w:val="18"/>
                <w:szCs w:val="18"/>
              </w:rPr>
            </w:pPr>
            <w:r>
              <w:rPr>
                <w:rFonts w:hint="eastAsia"/>
                <w:b/>
                <w:sz w:val="18"/>
                <w:szCs w:val="18"/>
              </w:rPr>
              <w:t>发证单位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default"/>
                <w:sz w:val="18"/>
                <w:szCs w:val="18"/>
              </w:rPr>
              <w:t>一</w:t>
            </w:r>
          </w:p>
        </w:tc>
        <w:tc>
          <w:tcPr>
            <w:tcW w:w="4586" w:type="pct"/>
            <w:gridSpan w:val="7"/>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eastAsia"/>
                <w:kern w:val="0"/>
                <w:sz w:val="18"/>
                <w:szCs w:val="18"/>
              </w:rPr>
              <w:t>安全部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r>
              <w:rPr>
                <w:rFonts w:hint="eastAsia"/>
                <w:bCs/>
                <w:sz w:val="18"/>
                <w:szCs w:val="18"/>
              </w:rPr>
              <w:t>张士雄</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624"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62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硫化氢防护培训合格证书</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62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r>
              <w:rPr>
                <w:rFonts w:hint="eastAsia"/>
                <w:bCs/>
                <w:sz w:val="18"/>
                <w:szCs w:val="18"/>
              </w:rPr>
              <w:t>陈景霞</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r>
              <w:rPr>
                <w:rFonts w:hint="eastAsia"/>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硫化氢防护培训合格证书</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r>
              <w:rPr>
                <w:rFonts w:hint="eastAsia"/>
                <w:bCs/>
                <w:sz w:val="18"/>
                <w:szCs w:val="18"/>
              </w:rPr>
              <w:t>王天梦</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eastAsia"/>
                <w:sz w:val="18"/>
                <w:szCs w:val="18"/>
              </w:rPr>
            </w:pPr>
            <w:r>
              <w:rPr>
                <w:rFonts w:hint="default"/>
                <w:sz w:val="18"/>
                <w:szCs w:val="18"/>
              </w:rPr>
              <w:t>HSE培训合格证</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eastAsia"/>
                <w:sz w:val="18"/>
                <w:szCs w:val="18"/>
              </w:rPr>
            </w:pPr>
            <w:r>
              <w:rPr>
                <w:rFonts w:hint="default"/>
                <w:sz w:val="18"/>
                <w:szCs w:val="18"/>
              </w:rPr>
              <w:t>硫化氢防护培训合格证书</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bCs/>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r>
              <w:rPr>
                <w:rFonts w:hint="eastAsia"/>
                <w:bCs/>
                <w:sz w:val="18"/>
                <w:szCs w:val="18"/>
              </w:rPr>
              <w:t>隋维县</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硫化氢防护培训合格证书</w:t>
            </w:r>
          </w:p>
        </w:tc>
        <w:tc>
          <w:tcPr>
            <w:tcW w:w="972"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05" w:type="pct"/>
            <w:gridSpan w:val="2"/>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Cs/>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rPr>
              <w:t>二</w:t>
            </w:r>
          </w:p>
        </w:tc>
        <w:tc>
          <w:tcPr>
            <w:tcW w:w="4586" w:type="pct"/>
            <w:gridSpan w:val="7"/>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张强</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朱先涛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赵宗帮</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赵一兴</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suppressLineNumbers w:val="0"/>
              <w:spacing w:before="0" w:beforeAutospacing="0" w:after="0" w:afterAutospacing="0"/>
              <w:ind w:left="0" w:right="0"/>
              <w:jc w:val="center"/>
              <w:rPr>
                <w:rFonts w:hint="default"/>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张泽奎</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张祥旭</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张荣卫</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张海涛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张常琼</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尤广通</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尹海峰</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杨俊臣</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胥茂领</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王哲</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highlight w:val="cyan"/>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王建辉</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孙文鑫</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隋朋君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秦荣兴</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苗祥艳</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李祥军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李际红</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4" w:hRule="atLeas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李发辉</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蒋安锋</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姜国卫</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郭飞飞</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丰胜</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房君卿</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董亚良</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丁强波</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top"/>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highlight w:val="yellow"/>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rPr>
              <w:t>三</w:t>
            </w:r>
          </w:p>
        </w:tc>
        <w:tc>
          <w:tcPr>
            <w:tcW w:w="4586" w:type="pct"/>
            <w:gridSpan w:val="7"/>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冀东项目部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 w:hRule="atLeas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王建伟</w:t>
            </w:r>
          </w:p>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 w:hRule="atLeas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常学锋</w:t>
            </w:r>
          </w:p>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王超</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李洪志</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付宝军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rPr>
              <w:t>四</w:t>
            </w:r>
          </w:p>
        </w:tc>
        <w:tc>
          <w:tcPr>
            <w:tcW w:w="4586" w:type="pct"/>
            <w:gridSpan w:val="7"/>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青海项目部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赵献进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王国春</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r>
              <w:rPr>
                <w:rFonts w:hint="eastAsia"/>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狄庆发</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rPr>
              <w:t>五</w:t>
            </w:r>
          </w:p>
        </w:tc>
        <w:tc>
          <w:tcPr>
            <w:tcW w:w="4586" w:type="pct"/>
            <w:gridSpan w:val="7"/>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吐哈项目部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张晓</w:t>
            </w:r>
            <w:r>
              <w:rPr>
                <w:rFonts w:hint="eastAsia"/>
                <w:kern w:val="0"/>
                <w:sz w:val="18"/>
                <w:szCs w:val="18"/>
              </w:rPr>
              <w:t>宇</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王春伟</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firstLine="90" w:firstLineChars="50"/>
              <w:jc w:val="center"/>
              <w:rPr>
                <w:rFonts w:hint="default"/>
                <w:kern w:val="0"/>
                <w:sz w:val="18"/>
                <w:szCs w:val="18"/>
              </w:rPr>
            </w:pPr>
            <w:r>
              <w:rPr>
                <w:rFonts w:hint="default"/>
                <w:sz w:val="18"/>
                <w:szCs w:val="18"/>
              </w:rPr>
              <w:t>刘锐</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rPr>
              <w:t>六</w:t>
            </w:r>
          </w:p>
        </w:tc>
        <w:tc>
          <w:tcPr>
            <w:tcW w:w="4586" w:type="pct"/>
            <w:gridSpan w:val="7"/>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徐同营</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赵国庆</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张耀</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张荣海</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张鲁宁</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张龙新</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firstLine="90" w:firstLineChars="50"/>
              <w:jc w:val="center"/>
              <w:rPr>
                <w:rFonts w:hint="default"/>
                <w:kern w:val="0"/>
                <w:sz w:val="18"/>
                <w:szCs w:val="18"/>
              </w:rPr>
            </w:pPr>
            <w:r>
              <w:rPr>
                <w:rFonts w:hint="default"/>
                <w:kern w:val="0"/>
                <w:sz w:val="18"/>
                <w:szCs w:val="18"/>
              </w:rPr>
              <w:t>张欢</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张浩</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姚冬冬</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杨秀楠</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firstLine="630" w:firstLineChars="35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徐翔</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rPr>
                <w:rFonts w:hint="default"/>
                <w:kern w:val="0"/>
                <w:sz w:val="18"/>
                <w:szCs w:val="18"/>
              </w:rPr>
            </w:pPr>
            <w:r>
              <w:rPr>
                <w:rFonts w:hint="default"/>
                <w:kern w:val="0"/>
                <w:sz w:val="18"/>
                <w:szCs w:val="18"/>
              </w:rPr>
              <w:t>辛培涛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firstLine="90" w:firstLineChars="50"/>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王正涛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王泽鹏</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王孟孟</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王凯</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王高峰</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王富龙</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孙江伟</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马永春</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马海龙</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eastAsia="宋体"/>
                <w:kern w:val="0"/>
                <w:sz w:val="18"/>
                <w:szCs w:val="18"/>
                <w:lang w:val="en-US" w:eastAsia="zh-CN"/>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1703" w:type="dxa"/>
            <w:gridSpan w:val="2"/>
            <w:noWrap w:val="0"/>
            <w:vAlign w:val="center"/>
          </w:tcPr>
          <w:p>
            <w:pPr>
              <w:keepNext w:val="0"/>
              <w:keepLines w:val="0"/>
              <w:widowControl/>
              <w:suppressLineNumbers w:val="0"/>
              <w:adjustRightInd w:val="0"/>
              <w:snapToGrid w:val="0"/>
              <w:spacing w:before="20" w:beforeAutospacing="0" w:after="20" w:afterAutospacing="0"/>
              <w:ind w:left="0" w:leftChars="0" w:right="0" w:rightChars="0"/>
              <w:jc w:val="center"/>
              <w:rPr>
                <w:rFonts w:hint="default"/>
                <w:kern w:val="0"/>
                <w:sz w:val="18"/>
                <w:szCs w:val="18"/>
              </w:rPr>
            </w:pPr>
          </w:p>
        </w:tc>
        <w:tc>
          <w:tcPr>
            <w:tcW w:w="1040" w:type="dxa"/>
            <w:noWrap w:val="0"/>
            <w:vAlign w:val="center"/>
          </w:tcPr>
          <w:p>
            <w:pPr>
              <w:keepNext w:val="0"/>
              <w:keepLines w:val="0"/>
              <w:widowControl/>
              <w:suppressLineNumbers w:val="0"/>
              <w:adjustRightInd w:val="0"/>
              <w:snapToGrid w:val="0"/>
              <w:spacing w:before="20" w:beforeAutospacing="0" w:after="20" w:afterAutospacing="0"/>
              <w:ind w:left="0" w:leftChars="0" w:right="0" w:rightChars="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刘加银</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李青松</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李锦</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李广市</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李春杰</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李柏超</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黄军健</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桓玉</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古志龙</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崔伟伟</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陈军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陈海师</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高龙龙</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蒋锋涛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firstLine="180" w:firstLineChars="100"/>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张传付</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王新</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9"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rPr>
              <w:t>七</w:t>
            </w:r>
          </w:p>
        </w:tc>
        <w:tc>
          <w:tcPr>
            <w:tcW w:w="4586" w:type="pct"/>
            <w:gridSpan w:val="7"/>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西南项目部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eastAsia"/>
                <w:kern w:val="0"/>
                <w:sz w:val="18"/>
                <w:szCs w:val="18"/>
              </w:rPr>
              <w:t>李志远</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陈长羽</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郑耀飞</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于泉勇</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杨建均</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3" w:hRule="atLeas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王富强</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任鹏</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李学刚</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雷瑜</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兰欣</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郭飞</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陈笃实</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付文涛</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唐志顺</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bookmarkStart w:id="32" w:name="_Hlk25829047"/>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58" w:hRule="atLeas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bookmarkEnd w:id="3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rPr>
              <w:t>八</w:t>
            </w:r>
          </w:p>
        </w:tc>
        <w:tc>
          <w:tcPr>
            <w:tcW w:w="4586" w:type="pct"/>
            <w:gridSpan w:val="7"/>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长庆项目部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杜超</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numPr>
                <w:ilvl w:val="0"/>
                <w:numId w:val="13"/>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张明阳</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firstLine="90" w:firstLineChars="50"/>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firstLine="90" w:firstLineChars="50"/>
              <w:jc w:val="center"/>
              <w:rPr>
                <w:rFonts w:hint="eastAsia"/>
                <w:sz w:val="18"/>
                <w:szCs w:val="18"/>
              </w:rPr>
            </w:pPr>
            <w:r>
              <w:rPr>
                <w:rFonts w:hint="eastAsia"/>
                <w:sz w:val="18"/>
                <w:szCs w:val="18"/>
              </w:rPr>
              <w:t>99</w:t>
            </w: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张凯</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硫化氢防护技术培训证书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firstLine="90" w:firstLineChars="50"/>
              <w:jc w:val="center"/>
              <w:rPr>
                <w:rFonts w:hint="default"/>
                <w:sz w:val="18"/>
                <w:szCs w:val="18"/>
              </w:rPr>
            </w:pPr>
            <w:r>
              <w:rPr>
                <w:rFonts w:hint="eastAsia"/>
                <w:sz w:val="18"/>
                <w:szCs w:val="18"/>
              </w:rPr>
              <w:t>100</w:t>
            </w: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黄家丰</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 w:hRule="atLeast"/>
          <w:jc w:val="center"/>
        </w:trPr>
        <w:tc>
          <w:tcPr>
            <w:tcW w:w="414"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firstLine="90" w:firstLineChars="50"/>
              <w:jc w:val="center"/>
              <w:rPr>
                <w:rFonts w:hint="default"/>
                <w:sz w:val="18"/>
                <w:szCs w:val="18"/>
              </w:rPr>
            </w:pPr>
            <w:r>
              <w:rPr>
                <w:rFonts w:hint="eastAsia"/>
                <w:sz w:val="18"/>
                <w:szCs w:val="18"/>
              </w:rPr>
              <w:t>101</w:t>
            </w: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胡宇</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 w:val="18"/>
                <w:szCs w:val="18"/>
              </w:rPr>
            </w:pPr>
            <w:r>
              <w:rPr>
                <w:rFonts w:hint="eastAsia"/>
                <w:sz w:val="18"/>
                <w:szCs w:val="18"/>
              </w:rPr>
              <w:t>102</w:t>
            </w: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王鹏斌</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restar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 w:val="18"/>
                <w:szCs w:val="18"/>
              </w:rPr>
            </w:pPr>
            <w:r>
              <w:rPr>
                <w:rFonts w:hint="eastAsia"/>
                <w:sz w:val="18"/>
                <w:szCs w:val="18"/>
              </w:rPr>
              <w:t>103</w:t>
            </w:r>
          </w:p>
        </w:tc>
        <w:tc>
          <w:tcPr>
            <w:tcW w:w="462"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r>
              <w:rPr>
                <w:rFonts w:hint="default"/>
                <w:kern w:val="0"/>
                <w:sz w:val="18"/>
                <w:szCs w:val="18"/>
              </w:rPr>
              <w:t>高毅飞</w:t>
            </w: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井控培训合格证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restar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eastAsia"/>
                <w:kern w:val="0"/>
                <w:sz w:val="18"/>
                <w:szCs w:val="18"/>
              </w:rPr>
            </w:pPr>
            <w:r>
              <w:rPr>
                <w:rFonts w:hint="eastAsia"/>
                <w:kern w:val="0"/>
                <w:sz w:val="18"/>
                <w:szCs w:val="18"/>
              </w:rPr>
              <w:t>中国石油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HSE培训合格证书</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4" w:type="pct"/>
            <w:vMerge w:val="continue"/>
            <w:noWrap w:val="0"/>
            <w:vAlign w:val="center"/>
          </w:tcPr>
          <w:p>
            <w:pPr>
              <w:keepNext w:val="0"/>
              <w:keepLines w:val="0"/>
              <w:numPr>
                <w:ilvl w:val="0"/>
                <w:numId w:val="14"/>
              </w:numPr>
              <w:suppressLineNumbers w:val="0"/>
              <w:adjustRightInd w:val="0"/>
              <w:snapToGrid w:val="0"/>
              <w:spacing w:before="62" w:beforeLines="20" w:beforeAutospacing="0" w:after="62" w:afterLines="20" w:afterAutospacing="0"/>
              <w:ind w:right="0"/>
              <w:jc w:val="center"/>
              <w:rPr>
                <w:rFonts w:hint="default"/>
                <w:sz w:val="18"/>
                <w:szCs w:val="18"/>
              </w:rPr>
            </w:pPr>
          </w:p>
        </w:tc>
        <w:tc>
          <w:tcPr>
            <w:tcW w:w="462"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1324" w:type="pct"/>
            <w:noWrap w:val="0"/>
            <w:vAlign w:val="center"/>
          </w:tcPr>
          <w:p>
            <w:pPr>
              <w:keepNext w:val="0"/>
              <w:keepLines w:val="0"/>
              <w:suppressLineNumbers w:val="0"/>
              <w:adjustRightInd w:val="0"/>
              <w:snapToGrid w:val="0"/>
              <w:spacing w:before="20" w:beforeAutospacing="0" w:after="20" w:afterAutospacing="0"/>
              <w:ind w:left="0" w:right="0"/>
              <w:jc w:val="center"/>
              <w:rPr>
                <w:rFonts w:hint="default"/>
                <w:sz w:val="18"/>
                <w:szCs w:val="18"/>
              </w:rPr>
            </w:pPr>
            <w:r>
              <w:rPr>
                <w:rFonts w:hint="default"/>
                <w:sz w:val="18"/>
                <w:szCs w:val="18"/>
              </w:rPr>
              <w:t>硫化氢防护培训合格证</w:t>
            </w:r>
          </w:p>
        </w:tc>
        <w:tc>
          <w:tcPr>
            <w:tcW w:w="972" w:type="pct"/>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05" w:type="pct"/>
            <w:gridSpan w:val="2"/>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624" w:type="pct"/>
            <w:vMerge w:val="continue"/>
            <w:noWrap w:val="0"/>
            <w:vAlign w:val="center"/>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c>
          <w:tcPr>
            <w:tcW w:w="598" w:type="pct"/>
            <w:vMerge w:val="continue"/>
            <w:noWrap w:val="0"/>
            <w:vAlign w:val="top"/>
          </w:tcPr>
          <w:p>
            <w:pPr>
              <w:keepNext w:val="0"/>
              <w:keepLines w:val="0"/>
              <w:widowControl/>
              <w:suppressLineNumbers w:val="0"/>
              <w:adjustRightInd w:val="0"/>
              <w:snapToGrid w:val="0"/>
              <w:spacing w:before="20" w:beforeAutospacing="0" w:after="20" w:afterAutospacing="0"/>
              <w:ind w:left="0" w:right="0"/>
              <w:jc w:val="center"/>
              <w:rPr>
                <w:rFonts w:hint="default"/>
                <w:kern w:val="0"/>
                <w:sz w:val="18"/>
                <w:szCs w:val="18"/>
              </w:rPr>
            </w:pPr>
          </w:p>
        </w:tc>
      </w:tr>
    </w:tbl>
    <w:p>
      <w:pPr>
        <w:adjustRightInd w:val="0"/>
        <w:snapToGrid w:val="0"/>
        <w:spacing w:line="360" w:lineRule="auto"/>
        <w:ind w:firstLine="420" w:firstLineChars="200"/>
        <w:rPr>
          <w:rFonts w:hint="eastAsia"/>
          <w:b/>
          <w:bCs/>
          <w:sz w:val="21"/>
          <w:szCs w:val="21"/>
          <w:lang w:val="en-US" w:eastAsia="zh-CN"/>
        </w:rPr>
      </w:pPr>
      <w:r>
        <w:rPr>
          <w:rFonts w:hint="eastAsia"/>
          <w:b/>
          <w:bCs/>
          <w:sz w:val="21"/>
          <w:szCs w:val="21"/>
          <w:lang w:val="en-US" w:eastAsia="zh-CN"/>
        </w:rPr>
        <w:t>注：1.该公司涉及钻井（定向施工）业务的管理人员及操作人员已在中石油或中石化培训机构取得硫化氢防护培训合格证、井控培训合格证和健康安全环境管理培训证书，作业前根据甲方资质要求由公司统一安排人员上井作业；</w:t>
      </w:r>
    </w:p>
    <w:p>
      <w:pPr>
        <w:adjustRightInd w:val="0"/>
        <w:snapToGrid w:val="0"/>
        <w:spacing w:line="360" w:lineRule="auto"/>
        <w:ind w:firstLine="420" w:firstLineChars="200"/>
        <w:rPr>
          <w:rFonts w:hint="default"/>
          <w:b/>
          <w:bCs/>
          <w:sz w:val="21"/>
          <w:szCs w:val="21"/>
          <w:lang w:val="en-US" w:eastAsia="zh-CN"/>
        </w:rPr>
      </w:pPr>
      <w:r>
        <w:rPr>
          <w:rFonts w:hint="eastAsia"/>
          <w:b/>
          <w:bCs/>
          <w:sz w:val="21"/>
          <w:szCs w:val="21"/>
          <w:lang w:val="en-US" w:eastAsia="zh-CN"/>
        </w:rPr>
        <w:t>2.高龙龙与雷瑜硫化氢防护培训合格证已过期，目前正在计划参加培训考试，在取得有效期内的培训合格证之前，严禁上井作业。</w:t>
      </w:r>
    </w:p>
    <w:p>
      <w:pPr>
        <w:pStyle w:val="4"/>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ascii="Times New Roman" w:hAnsi="Times New Roman"/>
          <w:b w:val="0"/>
          <w:bCs/>
          <w:szCs w:val="32"/>
        </w:rPr>
      </w:pPr>
      <w:bookmarkStart w:id="33" w:name="_Toc6838"/>
      <w:r>
        <w:rPr>
          <w:rFonts w:hint="eastAsia" w:ascii="Times New Roman" w:hAnsi="Times New Roman"/>
          <w:b w:val="0"/>
          <w:bCs/>
          <w:szCs w:val="32"/>
        </w:rPr>
        <w:t>2.</w:t>
      </w:r>
      <w:r>
        <w:rPr>
          <w:rFonts w:ascii="Times New Roman" w:hAnsi="Times New Roman"/>
          <w:b w:val="0"/>
          <w:bCs/>
          <w:szCs w:val="32"/>
        </w:rPr>
        <w:t xml:space="preserve">8 </w:t>
      </w:r>
      <w:r>
        <w:rPr>
          <w:rFonts w:hint="eastAsia" w:ascii="Times New Roman" w:hAnsi="Times New Roman"/>
          <w:b w:val="0"/>
          <w:bCs/>
          <w:szCs w:val="32"/>
        </w:rPr>
        <w:t>人员保险</w:t>
      </w:r>
      <w:bookmarkEnd w:id="33"/>
    </w:p>
    <w:p>
      <w:pPr>
        <w:adjustRightInd w:val="0"/>
        <w:snapToGrid w:val="0"/>
        <w:spacing w:line="360" w:lineRule="auto"/>
        <w:ind w:firstLine="560" w:firstLineChars="200"/>
        <w:rPr>
          <w:rFonts w:hint="eastAsia"/>
          <w:sz w:val="28"/>
        </w:rPr>
      </w:pPr>
      <w:r>
        <w:rPr>
          <w:rFonts w:hint="eastAsia"/>
          <w:sz w:val="28"/>
          <w:lang w:eastAsia="zh-CN"/>
        </w:rPr>
        <w:t>斯伦贝谢油田技术（山东）有限公司</w:t>
      </w:r>
      <w:r>
        <w:rPr>
          <w:rFonts w:hint="eastAsia"/>
          <w:sz w:val="28"/>
          <w:szCs w:val="28"/>
        </w:rPr>
        <w:t>现有员工</w:t>
      </w:r>
      <w:r>
        <w:rPr>
          <w:rFonts w:hint="eastAsia"/>
          <w:sz w:val="28"/>
          <w:szCs w:val="28"/>
          <w:lang w:val="en-US" w:eastAsia="zh-CN"/>
        </w:rPr>
        <w:t>255</w:t>
      </w:r>
      <w:r>
        <w:rPr>
          <w:rFonts w:hint="eastAsia"/>
          <w:sz w:val="28"/>
          <w:szCs w:val="28"/>
        </w:rPr>
        <w:t>人，其中</w:t>
      </w:r>
      <w:r>
        <w:rPr>
          <w:rFonts w:hint="eastAsia"/>
          <w:sz w:val="28"/>
          <w:szCs w:val="28"/>
          <w:lang w:val="en-US" w:eastAsia="zh-CN"/>
        </w:rPr>
        <w:t>236</w:t>
      </w:r>
      <w:r>
        <w:rPr>
          <w:rFonts w:hint="eastAsia"/>
          <w:sz w:val="28"/>
          <w:szCs w:val="28"/>
        </w:rPr>
        <w:t>人</w:t>
      </w:r>
      <w:r>
        <w:rPr>
          <w:rFonts w:hint="eastAsia"/>
          <w:sz w:val="28"/>
          <w:szCs w:val="28"/>
          <w:lang w:eastAsia="zh-CN"/>
        </w:rPr>
        <w:t>（</w:t>
      </w:r>
      <w:r>
        <w:rPr>
          <w:rFonts w:hint="eastAsia"/>
          <w:sz w:val="28"/>
          <w:szCs w:val="28"/>
          <w:lang w:val="en-US" w:eastAsia="zh-CN"/>
        </w:rPr>
        <w:t>包括</w:t>
      </w:r>
      <w:r>
        <w:rPr>
          <w:rFonts w:hint="eastAsia"/>
          <w:sz w:val="28"/>
          <w:lang w:val="en-US" w:eastAsia="zh-CN"/>
        </w:rPr>
        <w:t>项目部钻井（定向施工）作业</w:t>
      </w:r>
      <w:r>
        <w:rPr>
          <w:rFonts w:hint="eastAsia"/>
          <w:color w:val="auto"/>
          <w:sz w:val="28"/>
          <w:lang w:val="en-US" w:eastAsia="zh-CN"/>
        </w:rPr>
        <w:t>人员共99人</w:t>
      </w:r>
      <w:r>
        <w:rPr>
          <w:rFonts w:hint="eastAsia"/>
          <w:sz w:val="28"/>
          <w:lang w:val="en-US" w:eastAsia="zh-CN"/>
        </w:rPr>
        <w:t>）</w:t>
      </w:r>
      <w:r>
        <w:rPr>
          <w:rFonts w:hint="eastAsia"/>
          <w:sz w:val="28"/>
          <w:szCs w:val="28"/>
        </w:rPr>
        <w:t>直接与</w:t>
      </w:r>
      <w:r>
        <w:rPr>
          <w:rFonts w:hint="eastAsia"/>
          <w:sz w:val="28"/>
          <w:lang w:eastAsia="zh-CN"/>
        </w:rPr>
        <w:t>斯伦贝谢油田技术（山东）有限公司</w:t>
      </w:r>
      <w:r>
        <w:rPr>
          <w:rFonts w:hint="eastAsia"/>
          <w:sz w:val="28"/>
        </w:rPr>
        <w:t>签订有劳动合同，并在</w:t>
      </w:r>
      <w:r>
        <w:rPr>
          <w:rFonts w:hint="eastAsia"/>
          <w:sz w:val="28"/>
          <w:lang w:eastAsia="zh-CN"/>
        </w:rPr>
        <w:t>斯伦贝谢油田技术（山东）有限公司</w:t>
      </w:r>
      <w:r>
        <w:rPr>
          <w:rFonts w:hint="eastAsia"/>
          <w:sz w:val="28"/>
        </w:rPr>
        <w:t>缴纳社会保险，</w:t>
      </w:r>
      <w:r>
        <w:rPr>
          <w:rFonts w:hint="eastAsia"/>
          <w:sz w:val="28"/>
          <w:lang w:val="en-US" w:eastAsia="zh-CN"/>
        </w:rPr>
        <w:t>其余19人未在该公司缴纳工伤保险的情况如下，相关资料详见报告附件10</w:t>
      </w:r>
      <w:r>
        <w:rPr>
          <w:rFonts w:hint="eastAsia"/>
          <w:sz w:val="28"/>
        </w:rPr>
        <w:t>。</w:t>
      </w:r>
    </w:p>
    <w:p>
      <w:pPr>
        <w:adjustRightInd w:val="0"/>
        <w:snapToGrid w:val="0"/>
        <w:spacing w:line="360" w:lineRule="auto"/>
        <w:jc w:val="center"/>
        <w:rPr>
          <w:rFonts w:hint="default" w:eastAsiaTheme="minorEastAsia"/>
          <w:b/>
          <w:bCs/>
          <w:sz w:val="24"/>
          <w:szCs w:val="22"/>
          <w:lang w:val="en-US" w:eastAsia="zh-CN"/>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.8</w:t>
      </w:r>
      <w:r>
        <w:rPr>
          <w:rFonts w:eastAsiaTheme="minorEastAsia"/>
          <w:b/>
          <w:bCs/>
          <w:sz w:val="24"/>
          <w:szCs w:val="22"/>
        </w:rPr>
        <w:t>-</w:t>
      </w:r>
      <w:r>
        <w:rPr>
          <w:rFonts w:hint="eastAsia" w:eastAsiaTheme="minorEastAsia"/>
          <w:b/>
          <w:bCs/>
          <w:sz w:val="24"/>
          <w:szCs w:val="22"/>
          <w:lang w:val="en-US" w:eastAsia="zh-CN"/>
        </w:rPr>
        <w:t>1未在斯伦贝谢油田技术（山东）有限公司缴纳工伤保险人员情况统计表</w:t>
      </w:r>
      <w:r>
        <w:rPr>
          <w:rFonts w:hint="eastAsia"/>
          <w:b/>
          <w:bCs/>
          <w:sz w:val="24"/>
          <w:szCs w:val="28"/>
          <w:lang w:eastAsia="zh-CN"/>
        </w:rPr>
        <w:t>（</w:t>
      </w:r>
      <w:r>
        <w:rPr>
          <w:rFonts w:hint="eastAsia"/>
          <w:b/>
          <w:bCs/>
          <w:sz w:val="24"/>
          <w:szCs w:val="28"/>
          <w:lang w:val="en-US" w:eastAsia="zh-CN"/>
        </w:rPr>
        <w:t>涉及公司机密不予以公开</w:t>
      </w:r>
      <w:r>
        <w:rPr>
          <w:rFonts w:hint="eastAsia"/>
          <w:b/>
          <w:bCs/>
          <w:sz w:val="24"/>
          <w:szCs w:val="28"/>
          <w:lang w:eastAsia="zh-CN"/>
        </w:rPr>
        <w:t>）</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396"/>
        <w:gridCol w:w="2026"/>
        <w:gridCol w:w="3233"/>
        <w:gridCol w:w="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b/>
                <w:bCs w:val="0"/>
                <w:kern w:val="0"/>
                <w:sz w:val="21"/>
                <w:szCs w:val="21"/>
                <w:lang w:val="en-US" w:eastAsia="zh-CN"/>
              </w:rPr>
            </w:pPr>
            <w:r>
              <w:rPr>
                <w:rFonts w:hint="eastAsia" w:eastAsiaTheme="minorEastAsia"/>
                <w:b/>
                <w:bCs w:val="0"/>
                <w:kern w:val="0"/>
                <w:sz w:val="21"/>
                <w:szCs w:val="21"/>
                <w:lang w:val="en-US" w:eastAsia="zh-CN"/>
              </w:rPr>
              <w:t>序号</w:t>
            </w:r>
          </w:p>
        </w:tc>
        <w:tc>
          <w:tcPr>
            <w:tcW w:w="81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姓名</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部门/岗位</w:t>
            </w: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缴纳保险情况</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1</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eastAsiaTheme="minorEastAsia"/>
                <w:kern w:val="0"/>
                <w:sz w:val="21"/>
                <w:szCs w:val="21"/>
                <w:lang w:val="en-US" w:eastAsia="zh-CN"/>
              </w:rPr>
            </w:pPr>
            <w:r>
              <w:rPr>
                <w:rFonts w:hint="eastAsia" w:eastAsiaTheme="minorEastAsia"/>
                <w:kern w:val="0"/>
                <w:sz w:val="21"/>
                <w:szCs w:val="21"/>
                <w:lang w:val="en-US" w:eastAsia="zh-CN"/>
              </w:rPr>
              <w:t>何凤祥</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2</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eastAsiaTheme="minorEastAsia"/>
                <w:kern w:val="0"/>
                <w:sz w:val="21"/>
                <w:szCs w:val="21"/>
                <w:lang w:val="en-US" w:eastAsia="zh-CN"/>
              </w:rPr>
            </w:pPr>
            <w:r>
              <w:rPr>
                <w:rFonts w:hint="eastAsia" w:eastAsiaTheme="minorEastAsia"/>
                <w:kern w:val="0"/>
                <w:sz w:val="21"/>
                <w:szCs w:val="21"/>
                <w:lang w:val="en-US" w:eastAsia="zh-CN"/>
              </w:rPr>
              <w:t>耿淦</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3</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bidi="ar-SA"/>
              </w:rPr>
              <w:t>刘国渝</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4</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bidi="ar-SA"/>
              </w:rPr>
              <w:t>徐洪武</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5</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cs="Times New Roman" w:eastAsiaTheme="minorEastAsia"/>
                <w:kern w:val="0"/>
                <w:sz w:val="21"/>
                <w:szCs w:val="21"/>
                <w:lang w:val="en-US" w:eastAsia="zh-CN" w:bidi="ar-SA"/>
              </w:rPr>
              <w:t>苏丙涛</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6</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eastAsiaTheme="minorEastAsia"/>
                <w:kern w:val="0"/>
                <w:sz w:val="21"/>
                <w:szCs w:val="21"/>
                <w:lang w:val="en-US" w:eastAsia="zh-CN" w:bidi="ar-SA"/>
              </w:rPr>
            </w:pPr>
            <w:r>
              <w:rPr>
                <w:rFonts w:hint="eastAsia" w:cs="Times New Roman" w:eastAsiaTheme="minorEastAsia"/>
                <w:kern w:val="0"/>
                <w:sz w:val="21"/>
                <w:szCs w:val="21"/>
                <w:lang w:val="en-US" w:eastAsia="zh-CN" w:bidi="ar-SA"/>
              </w:rPr>
              <w:t>张士雄</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kern w:val="0"/>
                <w:sz w:val="21"/>
                <w:szCs w:val="21"/>
                <w:lang w:val="en-US" w:eastAsia="zh-CN"/>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eastAsia"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7</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eastAsiaTheme="minorEastAsia"/>
                <w:kern w:val="0"/>
                <w:sz w:val="21"/>
                <w:szCs w:val="21"/>
                <w:lang w:val="en-US" w:eastAsia="zh-CN" w:bidi="ar-SA"/>
              </w:rPr>
            </w:pPr>
            <w:r>
              <w:rPr>
                <w:rFonts w:hint="eastAsia" w:cs="Times New Roman" w:eastAsiaTheme="minorEastAsia"/>
                <w:kern w:val="0"/>
                <w:sz w:val="21"/>
                <w:szCs w:val="21"/>
                <w:lang w:val="en-US" w:eastAsia="zh-CN" w:bidi="ar-SA"/>
              </w:rPr>
              <w:t>王天梦</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cs="Times New Roman" w:eastAsiaTheme="minorEastAsia"/>
                <w:b w:val="0"/>
                <w:bCs/>
                <w:kern w:val="0"/>
                <w:sz w:val="21"/>
                <w:szCs w:val="21"/>
                <w:lang w:val="en-US" w:eastAsia="zh-CN" w:bidi="ar-SA"/>
              </w:rPr>
              <w:t>8</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eastAsiaTheme="minorEastAsia"/>
                <w:kern w:val="0"/>
                <w:sz w:val="21"/>
                <w:szCs w:val="21"/>
                <w:lang w:val="en-US" w:eastAsia="zh-CN" w:bidi="ar-SA"/>
              </w:rPr>
            </w:pPr>
            <w:r>
              <w:rPr>
                <w:rFonts w:hint="eastAsia" w:cs="Times New Roman" w:eastAsiaTheme="minorEastAsia"/>
                <w:kern w:val="0"/>
                <w:sz w:val="21"/>
                <w:szCs w:val="21"/>
                <w:lang w:val="en-US" w:eastAsia="zh-CN" w:bidi="ar-SA"/>
              </w:rPr>
              <w:t>王维</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kern w:val="0"/>
                <w:sz w:val="21"/>
                <w:szCs w:val="21"/>
                <w:lang w:val="en-US" w:eastAsia="zh-CN"/>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9</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陈树国</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10</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任树卫</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11</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高宝丽</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12</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张峰</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13</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田昭亮</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14</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王可云</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15</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李天平</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16</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韩景彬</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17</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逯红艳</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b w:val="0"/>
                <w:bCs/>
                <w:kern w:val="0"/>
                <w:sz w:val="21"/>
                <w:szCs w:val="21"/>
                <w:lang w:val="en-US" w:eastAsia="zh-CN" w:bidi="ar-SA"/>
              </w:rPr>
            </w:pPr>
            <w:r>
              <w:rPr>
                <w:rFonts w:hint="eastAsia" w:eastAsiaTheme="minorEastAsia"/>
                <w:b w:val="0"/>
                <w:bCs/>
                <w:kern w:val="0"/>
                <w:sz w:val="21"/>
                <w:szCs w:val="21"/>
                <w:lang w:val="en-US" w:eastAsia="zh-CN"/>
              </w:rPr>
              <w:t>18</w:t>
            </w:r>
          </w:p>
        </w:tc>
        <w:tc>
          <w:tcPr>
            <w:tcW w:w="819" w:type="pc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王洪斌</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19</w:t>
            </w:r>
          </w:p>
        </w:tc>
        <w:tc>
          <w:tcPr>
            <w:tcW w:w="81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毛荣花</w:t>
            </w:r>
          </w:p>
        </w:tc>
        <w:tc>
          <w:tcPr>
            <w:tcW w:w="11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18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default" w:ascii="Times New Roman" w:hAnsi="Times New Roman" w:cs="Times New Roman" w:eastAsiaTheme="minorEastAsia"/>
                <w:kern w:val="0"/>
                <w:sz w:val="21"/>
                <w:szCs w:val="21"/>
                <w:lang w:val="en-US" w:eastAsia="zh-CN" w:bidi="ar-SA"/>
              </w:rPr>
            </w:pP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sz w:val="28"/>
        </w:rPr>
      </w:pPr>
      <w:r>
        <w:rPr>
          <w:rFonts w:hint="eastAsia"/>
          <w:sz w:val="28"/>
          <w:lang w:val="en-US" w:eastAsia="zh-CN"/>
        </w:rPr>
        <w:t>该</w:t>
      </w:r>
      <w:r>
        <w:rPr>
          <w:rFonts w:hint="eastAsia"/>
          <w:sz w:val="28"/>
        </w:rPr>
        <w:t>公司按照《工伤保险条例》</w:t>
      </w:r>
      <w:r>
        <w:rPr>
          <w:rFonts w:hint="eastAsia"/>
          <w:sz w:val="28"/>
          <w:szCs w:val="28"/>
        </w:rPr>
        <w:t>（</w:t>
      </w:r>
      <w:r>
        <w:rPr>
          <w:sz w:val="28"/>
          <w:szCs w:val="28"/>
        </w:rPr>
        <w:t>国务院令[20</w:t>
      </w:r>
      <w:r>
        <w:rPr>
          <w:rFonts w:hint="eastAsia"/>
          <w:sz w:val="28"/>
          <w:szCs w:val="28"/>
        </w:rPr>
        <w:t>10</w:t>
      </w:r>
      <w:r>
        <w:rPr>
          <w:sz w:val="28"/>
          <w:szCs w:val="28"/>
        </w:rPr>
        <w:t>]第</w:t>
      </w:r>
      <w:r>
        <w:rPr>
          <w:rFonts w:hint="eastAsia"/>
          <w:sz w:val="28"/>
          <w:szCs w:val="28"/>
        </w:rPr>
        <w:t>586号</w:t>
      </w:r>
      <w:r>
        <w:rPr>
          <w:rFonts w:hint="eastAsia"/>
          <w:sz w:val="28"/>
          <w:szCs w:val="28"/>
          <w:lang w:val="en-US" w:eastAsia="zh-CN"/>
        </w:rPr>
        <w:t>修订</w:t>
      </w:r>
      <w:r>
        <w:rPr>
          <w:rFonts w:hint="eastAsia"/>
          <w:sz w:val="28"/>
          <w:szCs w:val="28"/>
        </w:rPr>
        <w:t>）</w:t>
      </w:r>
      <w:r>
        <w:rPr>
          <w:rFonts w:hint="eastAsia"/>
          <w:sz w:val="28"/>
        </w:rPr>
        <w:t>的有关规定，依法为职工办理了</w:t>
      </w:r>
      <w:r>
        <w:rPr>
          <w:rFonts w:hint="eastAsia"/>
          <w:sz w:val="28"/>
          <w:lang w:eastAsia="zh-CN"/>
        </w:rPr>
        <w:t>“</w:t>
      </w:r>
      <w:r>
        <w:rPr>
          <w:rFonts w:hint="eastAsia"/>
          <w:sz w:val="28"/>
        </w:rPr>
        <w:t>五险</w:t>
      </w:r>
      <w:r>
        <w:rPr>
          <w:rFonts w:hint="eastAsia"/>
          <w:sz w:val="28"/>
          <w:lang w:eastAsia="zh-CN"/>
        </w:rPr>
        <w:t>”</w:t>
      </w:r>
      <w:r>
        <w:rPr>
          <w:rFonts w:hint="eastAsia"/>
          <w:sz w:val="28"/>
        </w:rPr>
        <w:t>，按时、足额为职工缴纳工伤保险费</w:t>
      </w:r>
      <w:r>
        <w:rPr>
          <w:rFonts w:hint="eastAsia"/>
          <w:sz w:val="28"/>
          <w:lang w:eastAsia="zh-CN"/>
        </w:rPr>
        <w:t>，</w:t>
      </w:r>
      <w:r>
        <w:rPr>
          <w:rFonts w:hint="eastAsia"/>
          <w:sz w:val="28"/>
        </w:rPr>
        <w:t>另外，</w:t>
      </w:r>
      <w:r>
        <w:rPr>
          <w:rFonts w:hint="eastAsia"/>
          <w:sz w:val="28"/>
          <w:lang w:val="en-US" w:eastAsia="zh-CN"/>
        </w:rPr>
        <w:t>该</w:t>
      </w:r>
      <w:r>
        <w:rPr>
          <w:rFonts w:hint="eastAsia"/>
          <w:sz w:val="28"/>
        </w:rPr>
        <w:t>公司</w:t>
      </w:r>
      <w:r>
        <w:rPr>
          <w:rFonts w:hint="eastAsia"/>
          <w:sz w:val="28"/>
          <w:lang w:val="en-US" w:eastAsia="zh-CN"/>
        </w:rPr>
        <w:t>目前已</w:t>
      </w:r>
      <w:r>
        <w:rPr>
          <w:rFonts w:hint="eastAsia"/>
          <w:sz w:val="28"/>
        </w:rPr>
        <w:t>依法</w:t>
      </w:r>
      <w:r>
        <w:rPr>
          <w:rFonts w:hint="eastAsia"/>
          <w:sz w:val="28"/>
          <w:lang w:val="en-US" w:eastAsia="zh-CN"/>
        </w:rPr>
        <w:t>为全员255人</w:t>
      </w:r>
      <w:r>
        <w:rPr>
          <w:rFonts w:hint="eastAsia"/>
          <w:sz w:val="28"/>
        </w:rPr>
        <w:t>缴纳了安全生产责任险</w:t>
      </w:r>
      <w:r>
        <w:rPr>
          <w:rFonts w:hint="eastAsia"/>
          <w:sz w:val="28"/>
          <w:lang w:eastAsia="zh-CN"/>
        </w:rPr>
        <w:t>，</w:t>
      </w:r>
      <w:r>
        <w:rPr>
          <w:rFonts w:hint="eastAsia"/>
          <w:sz w:val="28"/>
          <w:lang w:val="en-US" w:eastAsia="zh-CN"/>
        </w:rPr>
        <w:t>有效期至2023年6月11日，详见报告附件11</w:t>
      </w:r>
      <w:r>
        <w:rPr>
          <w:rFonts w:hint="eastAsia"/>
          <w:sz w:val="28"/>
        </w:rPr>
        <w:t>。</w:t>
      </w:r>
    </w:p>
    <w:p>
      <w:pPr>
        <w:pStyle w:val="4"/>
        <w:adjustRightInd w:val="0"/>
        <w:snapToGrid w:val="0"/>
        <w:spacing w:before="0" w:after="0" w:line="360" w:lineRule="auto"/>
        <w:rPr>
          <w:rFonts w:ascii="Times New Roman" w:hAnsi="Times New Roman"/>
          <w:b w:val="0"/>
          <w:bCs/>
          <w:szCs w:val="32"/>
        </w:rPr>
      </w:pPr>
      <w:bookmarkStart w:id="34" w:name="_Toc17854"/>
      <w:r>
        <w:rPr>
          <w:rFonts w:hint="eastAsia" w:ascii="Times New Roman" w:hAnsi="Times New Roman"/>
          <w:b w:val="0"/>
          <w:bCs/>
          <w:szCs w:val="32"/>
        </w:rPr>
        <w:t>2.</w:t>
      </w:r>
      <w:r>
        <w:rPr>
          <w:rFonts w:ascii="Times New Roman" w:hAnsi="Times New Roman"/>
          <w:b w:val="0"/>
          <w:bCs/>
          <w:szCs w:val="32"/>
        </w:rPr>
        <w:t xml:space="preserve">9 </w:t>
      </w:r>
      <w:r>
        <w:rPr>
          <w:rFonts w:hint="eastAsia" w:ascii="Times New Roman" w:hAnsi="Times New Roman"/>
          <w:b w:val="0"/>
          <w:bCs/>
          <w:szCs w:val="32"/>
        </w:rPr>
        <w:t>职业危害防护及劳保用品发放</w:t>
      </w:r>
      <w:bookmarkEnd w:id="34"/>
    </w:p>
    <w:p>
      <w:pPr>
        <w:adjustRightInd w:val="0"/>
        <w:snapToGrid w:val="0"/>
        <w:spacing w:line="360" w:lineRule="auto"/>
        <w:ind w:firstLine="560" w:firstLineChars="200"/>
        <w:rPr>
          <w:rFonts w:hint="eastAsia"/>
          <w:sz w:val="28"/>
        </w:rPr>
      </w:pPr>
      <w:r>
        <w:rPr>
          <w:rFonts w:hint="eastAsia"/>
          <w:sz w:val="28"/>
          <w:lang w:val="en-US" w:eastAsia="zh-CN"/>
        </w:rPr>
        <w:t>该</w:t>
      </w:r>
      <w:r>
        <w:rPr>
          <w:rFonts w:hint="eastAsia"/>
          <w:sz w:val="28"/>
        </w:rPr>
        <w:t>公司定期</w:t>
      </w:r>
      <w:r>
        <w:rPr>
          <w:rFonts w:hint="eastAsia"/>
          <w:sz w:val="28"/>
          <w:lang w:val="en-US" w:eastAsia="zh-CN"/>
        </w:rPr>
        <w:t>为</w:t>
      </w:r>
      <w:r>
        <w:rPr>
          <w:rFonts w:hint="eastAsia"/>
          <w:sz w:val="28"/>
        </w:rPr>
        <w:t>作业人员进行</w:t>
      </w:r>
      <w:r>
        <w:rPr>
          <w:rFonts w:hint="eastAsia"/>
          <w:sz w:val="28"/>
          <w:lang w:val="en-US" w:eastAsia="zh-CN"/>
        </w:rPr>
        <w:t>职业</w:t>
      </w:r>
      <w:r>
        <w:rPr>
          <w:rFonts w:hint="eastAsia"/>
          <w:sz w:val="28"/>
        </w:rPr>
        <w:t>健康体检，建有员工健康档案。在劳保用品发放方面，按照有关规定的要求，根据岗位特点，按规定向</w:t>
      </w:r>
      <w:r>
        <w:rPr>
          <w:rFonts w:hint="eastAsia"/>
          <w:sz w:val="28"/>
          <w:lang w:val="en-US" w:eastAsia="zh-CN"/>
        </w:rPr>
        <w:t>员工</w:t>
      </w:r>
      <w:r>
        <w:rPr>
          <w:rFonts w:hint="eastAsia"/>
          <w:sz w:val="28"/>
        </w:rPr>
        <w:t>发放</w:t>
      </w:r>
      <w:r>
        <w:rPr>
          <w:rFonts w:hint="eastAsia"/>
          <w:sz w:val="28"/>
          <w:lang w:val="en-US" w:eastAsia="zh-CN"/>
        </w:rPr>
        <w:t>单/棉安全帽、单/棉工衣、单/棉工鞋、安全防护眼镜</w:t>
      </w:r>
      <w:r>
        <w:rPr>
          <w:rFonts w:hint="eastAsia"/>
          <w:sz w:val="28"/>
        </w:rPr>
        <w:t>等劳保用品，</w:t>
      </w:r>
      <w:r>
        <w:rPr>
          <w:rFonts w:hint="eastAsia"/>
          <w:sz w:val="28"/>
          <w:lang w:val="en-US" w:eastAsia="zh-CN"/>
        </w:rPr>
        <w:t>作业</w:t>
      </w:r>
      <w:r>
        <w:rPr>
          <w:rFonts w:hint="eastAsia"/>
          <w:sz w:val="28"/>
        </w:rPr>
        <w:t>人员必须按规定佩戴好劳保用品方可进行施工。</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bCs/>
          <w:sz w:val="24"/>
          <w:szCs w:val="22"/>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.9</w:t>
      </w:r>
      <w:r>
        <w:rPr>
          <w:rFonts w:eastAsiaTheme="minorEastAsia"/>
          <w:b/>
          <w:bCs/>
          <w:sz w:val="24"/>
          <w:szCs w:val="22"/>
        </w:rPr>
        <w:t>-</w:t>
      </w:r>
      <w:r>
        <w:rPr>
          <w:rFonts w:hint="eastAsia" w:eastAsiaTheme="minorEastAsia"/>
          <w:b/>
          <w:bCs/>
          <w:sz w:val="24"/>
          <w:szCs w:val="22"/>
          <w:lang w:val="en-US" w:eastAsia="zh-CN"/>
        </w:rPr>
        <w:t>1</w:t>
      </w:r>
      <w:r>
        <w:rPr>
          <w:rFonts w:hint="eastAsia" w:eastAsiaTheme="minorEastAsia"/>
          <w:b/>
          <w:bCs/>
          <w:sz w:val="24"/>
          <w:szCs w:val="22"/>
        </w:rPr>
        <w:t>劳保用品配备标准</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2789"/>
        <w:gridCol w:w="2788"/>
        <w:gridCol w:w="1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bCs w:val="0"/>
                <w:kern w:val="0"/>
                <w:sz w:val="21"/>
                <w:szCs w:val="21"/>
              </w:rPr>
            </w:pPr>
            <w:r>
              <w:rPr>
                <w:rFonts w:hint="default" w:eastAsiaTheme="minorEastAsia"/>
                <w:b/>
                <w:bCs w:val="0"/>
                <w:kern w:val="0"/>
                <w:sz w:val="21"/>
                <w:szCs w:val="21"/>
              </w:rPr>
              <w:t>劳保名称</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标准要求</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执行情况</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b/>
                <w:bCs w:val="0"/>
                <w:kern w:val="0"/>
                <w:sz w:val="21"/>
                <w:szCs w:val="21"/>
                <w:lang w:val="en-US" w:eastAsia="zh-CN"/>
              </w:rPr>
            </w:pPr>
            <w:r>
              <w:rPr>
                <w:rFonts w:hint="eastAsia" w:eastAsiaTheme="minorEastAsia"/>
                <w:b/>
                <w:bCs w:val="0"/>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单工衣</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12个月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12个月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棉工衣</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36个月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24个月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单工鞋</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12个月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12个月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b w:val="0"/>
                <w:bCs/>
                <w:kern w:val="0"/>
                <w:sz w:val="21"/>
                <w:szCs w:val="21"/>
                <w:lang w:val="en-US" w:eastAsia="zh-CN"/>
              </w:rPr>
            </w:pPr>
            <w:r>
              <w:rPr>
                <w:rFonts w:hint="eastAsia" w:eastAsiaTheme="minorEastAsia"/>
                <w:b w:val="0"/>
                <w:bCs/>
                <w:kern w:val="0"/>
                <w:sz w:val="21"/>
                <w:szCs w:val="21"/>
                <w:lang w:val="en-US" w:eastAsia="zh-CN"/>
              </w:rPr>
              <w:t>棉工鞋</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24个月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24个月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b w:val="0"/>
                <w:bCs/>
                <w:kern w:val="0"/>
                <w:sz w:val="21"/>
                <w:szCs w:val="21"/>
                <w:lang w:val="en-US" w:eastAsia="zh-CN"/>
              </w:rPr>
            </w:pPr>
            <w:r>
              <w:rPr>
                <w:rFonts w:hint="eastAsia" w:eastAsiaTheme="minorEastAsia"/>
                <w:b w:val="0"/>
                <w:bCs/>
                <w:kern w:val="0"/>
                <w:sz w:val="21"/>
                <w:szCs w:val="21"/>
                <w:lang w:val="en-US" w:eastAsia="zh-CN"/>
              </w:rPr>
              <w:t>单安全帽</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30个月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30个月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棉安全帽</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eastAsia" w:ascii="Times New Roman" w:hAnsi="Times New Roman" w:cs="Times New Roman" w:eastAsiaTheme="minorEastAsia"/>
                <w:kern w:val="0"/>
                <w:sz w:val="21"/>
                <w:szCs w:val="21"/>
                <w:lang w:val="en-US" w:eastAsia="zh-CN" w:bidi="ar-SA"/>
              </w:rPr>
            </w:pPr>
            <w:r>
              <w:rPr>
                <w:rFonts w:hint="eastAsia" w:eastAsiaTheme="minorEastAsia"/>
                <w:kern w:val="0"/>
                <w:sz w:val="21"/>
                <w:szCs w:val="21"/>
                <w:lang w:val="en-US" w:eastAsia="zh-CN"/>
              </w:rPr>
              <w:t>30个月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leftChars="0" w:right="0" w:rightChars="0"/>
              <w:jc w:val="center"/>
              <w:textAlignment w:val="auto"/>
              <w:rPr>
                <w:rFonts w:hint="eastAsia" w:ascii="Times New Roman" w:hAnsi="Times New Roman" w:cs="Times New Roman" w:eastAsiaTheme="minorEastAsia"/>
                <w:kern w:val="0"/>
                <w:sz w:val="21"/>
                <w:szCs w:val="21"/>
                <w:lang w:val="en-US" w:eastAsia="zh-CN" w:bidi="ar-SA"/>
              </w:rPr>
            </w:pPr>
            <w:r>
              <w:rPr>
                <w:rFonts w:hint="eastAsia" w:eastAsiaTheme="minorEastAsia"/>
                <w:kern w:val="0"/>
                <w:sz w:val="21"/>
                <w:szCs w:val="21"/>
                <w:lang w:val="en-US" w:eastAsia="zh-CN"/>
              </w:rPr>
              <w:t>30个月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b w:val="0"/>
                <w:bCs/>
                <w:kern w:val="0"/>
                <w:sz w:val="21"/>
                <w:szCs w:val="21"/>
                <w:lang w:val="en-US" w:eastAsia="zh-CN"/>
              </w:rPr>
            </w:pPr>
            <w:r>
              <w:rPr>
                <w:rFonts w:hint="eastAsia" w:eastAsiaTheme="minorEastAsia"/>
                <w:b w:val="0"/>
                <w:bCs/>
                <w:kern w:val="0"/>
                <w:sz w:val="21"/>
                <w:szCs w:val="21"/>
                <w:lang w:val="en-US" w:eastAsia="zh-CN"/>
              </w:rPr>
              <w:t>防砸手套</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b w:val="0"/>
                <w:bCs/>
                <w:kern w:val="0"/>
                <w:sz w:val="21"/>
                <w:szCs w:val="21"/>
                <w:lang w:val="en-US" w:eastAsia="zh-CN"/>
              </w:rPr>
            </w:pPr>
            <w:r>
              <w:rPr>
                <w:rFonts w:hint="eastAsia" w:eastAsiaTheme="minorEastAsia"/>
                <w:b w:val="0"/>
                <w:bCs/>
                <w:kern w:val="0"/>
                <w:sz w:val="21"/>
                <w:szCs w:val="21"/>
                <w:lang w:val="en-US" w:eastAsia="zh-CN"/>
              </w:rPr>
              <w:t>安全防护眼镜</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36个月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12个月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b w:val="0"/>
                <w:bCs/>
                <w:kern w:val="0"/>
                <w:sz w:val="21"/>
                <w:szCs w:val="21"/>
                <w:lang w:val="en-US" w:eastAsia="zh-CN"/>
              </w:rPr>
            </w:pPr>
            <w:r>
              <w:rPr>
                <w:rFonts w:hint="eastAsia" w:eastAsiaTheme="minorEastAsia"/>
                <w:b w:val="0"/>
                <w:bCs/>
                <w:kern w:val="0"/>
                <w:sz w:val="21"/>
                <w:szCs w:val="21"/>
                <w:lang w:val="en-US" w:eastAsia="zh-CN"/>
              </w:rPr>
              <w:t>工程包</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eastAsia" w:eastAsiaTheme="minorEastAsia"/>
                <w:kern w:val="0"/>
                <w:sz w:val="21"/>
                <w:szCs w:val="21"/>
                <w:lang w:val="en-US" w:eastAsia="zh-CN"/>
              </w:rPr>
            </w:pPr>
            <w:r>
              <w:rPr>
                <w:rFonts w:hint="eastAsia" w:eastAsiaTheme="minorEastAsia"/>
                <w:kern w:val="0"/>
                <w:sz w:val="21"/>
                <w:szCs w:val="21"/>
                <w:lang w:val="en-US" w:eastAsia="zh-CN"/>
              </w:rPr>
              <w:t>/</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一次性配发</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b w:val="0"/>
                <w:bCs/>
                <w:kern w:val="0"/>
                <w:sz w:val="21"/>
                <w:szCs w:val="21"/>
                <w:lang w:val="en-US" w:eastAsia="zh-CN"/>
              </w:rPr>
            </w:pPr>
            <w:r>
              <w:rPr>
                <w:rFonts w:hint="eastAsia" w:eastAsiaTheme="minorEastAsia"/>
                <w:b w:val="0"/>
                <w:bCs/>
                <w:kern w:val="0"/>
                <w:sz w:val="21"/>
                <w:szCs w:val="21"/>
                <w:lang w:val="en-US" w:eastAsia="zh-CN"/>
              </w:rPr>
              <w:t>耳塞</w:t>
            </w:r>
          </w:p>
        </w:tc>
        <w:tc>
          <w:tcPr>
            <w:tcW w:w="16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3个月</w:t>
            </w:r>
          </w:p>
        </w:tc>
        <w:tc>
          <w:tcPr>
            <w:tcW w:w="163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3个月</w:t>
            </w:r>
          </w:p>
        </w:tc>
        <w:tc>
          <w:tcPr>
            <w:tcW w:w="8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center"/>
              <w:textAlignment w:val="auto"/>
              <w:rPr>
                <w:rFonts w:hint="default" w:eastAsiaTheme="minorEastAsia"/>
                <w:kern w:val="0"/>
                <w:sz w:val="21"/>
                <w:szCs w:val="21"/>
              </w:rPr>
            </w:pPr>
            <w:r>
              <w:rPr>
                <w:rFonts w:hint="eastAsia" w:eastAsiaTheme="minorEastAsia"/>
                <w:b w:val="0"/>
                <w:bCs/>
                <w:kern w:val="0"/>
                <w:sz w:val="21"/>
                <w:szCs w:val="21"/>
                <w:lang w:val="en-US" w:eastAsia="zh-CN"/>
              </w:rPr>
              <w:t>整改后</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b w:val="0"/>
          <w:bCs w:val="0"/>
          <w:sz w:val="28"/>
          <w:szCs w:val="28"/>
        </w:rPr>
      </w:pPr>
      <w:r>
        <w:rPr>
          <w:rFonts w:hint="eastAsia"/>
          <w:b w:val="0"/>
          <w:bCs w:val="0"/>
          <w:sz w:val="28"/>
          <w:szCs w:val="28"/>
          <w:lang w:val="en-US" w:eastAsia="zh-CN"/>
        </w:rPr>
        <w:t>根据该企业钻井（定向施工）作业过程中产生的主要危险有害因素，企业为从业人员配备了必要的劳动防护用品，</w:t>
      </w:r>
      <w:r>
        <w:rPr>
          <w:rFonts w:hint="eastAsia"/>
          <w:b w:val="0"/>
          <w:bCs w:val="0"/>
          <w:sz w:val="28"/>
          <w:szCs w:val="28"/>
        </w:rPr>
        <w:t>劳动防护</w:t>
      </w:r>
      <w:r>
        <w:rPr>
          <w:rFonts w:hint="eastAsia"/>
          <w:b w:val="0"/>
          <w:bCs w:val="0"/>
          <w:color w:val="auto"/>
          <w:sz w:val="28"/>
          <w:szCs w:val="28"/>
        </w:rPr>
        <w:t>用品</w:t>
      </w:r>
      <w:r>
        <w:rPr>
          <w:rFonts w:hint="eastAsia"/>
          <w:b w:val="0"/>
          <w:bCs w:val="0"/>
          <w:color w:val="auto"/>
          <w:sz w:val="28"/>
          <w:szCs w:val="28"/>
          <w:lang w:val="en-US" w:eastAsia="zh-CN"/>
        </w:rPr>
        <w:t>在整改后</w:t>
      </w:r>
      <w:r>
        <w:rPr>
          <w:rFonts w:hint="eastAsia"/>
          <w:b w:val="0"/>
          <w:bCs w:val="0"/>
          <w:color w:val="auto"/>
          <w:sz w:val="28"/>
          <w:szCs w:val="28"/>
        </w:rPr>
        <w:t>配备</w:t>
      </w:r>
      <w:r>
        <w:rPr>
          <w:rFonts w:hint="eastAsia"/>
          <w:b w:val="0"/>
          <w:bCs w:val="0"/>
          <w:color w:val="auto"/>
          <w:sz w:val="28"/>
          <w:szCs w:val="28"/>
          <w:lang w:val="en-US" w:eastAsia="zh-CN"/>
        </w:rPr>
        <w:t>的单/棉工衣、单/棉工鞋、单/棉安全帽、安全防护眼镜、耳塞等种类与更换周期</w:t>
      </w:r>
      <w:r>
        <w:rPr>
          <w:rFonts w:hint="eastAsia"/>
          <w:b w:val="0"/>
          <w:bCs w:val="0"/>
          <w:sz w:val="28"/>
          <w:szCs w:val="28"/>
        </w:rPr>
        <w:t>符合《个体防护装备配备规范 第2部分</w:t>
      </w:r>
      <w:r>
        <w:rPr>
          <w:rFonts w:hint="eastAsia"/>
          <w:b w:val="0"/>
          <w:bCs w:val="0"/>
          <w:sz w:val="28"/>
          <w:szCs w:val="28"/>
          <w:lang w:eastAsia="zh-CN"/>
        </w:rPr>
        <w:t>：</w:t>
      </w:r>
      <w:r>
        <w:rPr>
          <w:rFonts w:hint="eastAsia"/>
          <w:b w:val="0"/>
          <w:bCs w:val="0"/>
          <w:sz w:val="28"/>
          <w:szCs w:val="28"/>
        </w:rPr>
        <w:t>石油、</w:t>
      </w:r>
      <w:r>
        <w:rPr>
          <w:rFonts w:hint="eastAsia" w:ascii="Times New Roman" w:hAnsi="Times New Roman" w:eastAsia="宋体" w:cs="Times New Roman"/>
          <w:b w:val="0"/>
          <w:bCs w:val="0"/>
          <w:sz w:val="28"/>
          <w:szCs w:val="28"/>
        </w:rPr>
        <w:t>化工、天然气》（GB 39800.2-2020）</w:t>
      </w:r>
      <w:r>
        <w:rPr>
          <w:rFonts w:hint="eastAsia" w:cs="Times New Roman"/>
          <w:b w:val="0"/>
          <w:bCs w:val="0"/>
          <w:sz w:val="28"/>
          <w:szCs w:val="28"/>
          <w:lang w:val="en-US" w:eastAsia="zh-CN"/>
        </w:rPr>
        <w:t>关于随钻测量工（SY-02-003）</w:t>
      </w:r>
      <w:r>
        <w:rPr>
          <w:rFonts w:hint="eastAsia" w:ascii="Times New Roman" w:hAnsi="Times New Roman" w:eastAsia="宋体" w:cs="Times New Roman"/>
          <w:b w:val="0"/>
          <w:bCs w:val="0"/>
          <w:sz w:val="28"/>
          <w:szCs w:val="28"/>
          <w:lang w:eastAsia="zh-CN"/>
        </w:rPr>
        <w:t>、《</w:t>
      </w:r>
      <w:r>
        <w:rPr>
          <w:rFonts w:hint="eastAsia" w:ascii="Times New Roman" w:hAnsi="Times New Roman" w:eastAsia="宋体" w:cs="Times New Roman"/>
          <w:b w:val="0"/>
          <w:bCs w:val="0"/>
          <w:sz w:val="28"/>
          <w:szCs w:val="28"/>
          <w:lang w:val="en-US" w:eastAsia="zh-CN"/>
        </w:rPr>
        <w:t>山东省劳动防护用品配备标准》（DB37/1922-2011）</w:t>
      </w:r>
      <w:r>
        <w:rPr>
          <w:rFonts w:hint="eastAsia" w:cs="Times New Roman"/>
          <w:b w:val="0"/>
          <w:bCs w:val="0"/>
          <w:sz w:val="28"/>
          <w:szCs w:val="28"/>
          <w:lang w:val="en-US" w:eastAsia="zh-CN"/>
        </w:rPr>
        <w:t>关于石油钻井工以及《石油天然气作业场所劳动防护用品配备规范》（SY/T6524-2017）第6.1、6.4条</w:t>
      </w:r>
      <w:r>
        <w:rPr>
          <w:rFonts w:hint="eastAsia"/>
          <w:b w:val="0"/>
          <w:bCs w:val="0"/>
          <w:sz w:val="28"/>
          <w:szCs w:val="28"/>
        </w:rPr>
        <w:t>的</w:t>
      </w:r>
      <w:r>
        <w:rPr>
          <w:rFonts w:hint="eastAsia"/>
          <w:b w:val="0"/>
          <w:bCs w:val="0"/>
          <w:sz w:val="28"/>
          <w:szCs w:val="28"/>
          <w:lang w:val="en-US" w:eastAsia="zh-CN"/>
        </w:rPr>
        <w:t>相关配备</w:t>
      </w:r>
      <w:r>
        <w:rPr>
          <w:rFonts w:hint="eastAsia"/>
          <w:b w:val="0"/>
          <w:bCs w:val="0"/>
          <w:sz w:val="28"/>
          <w:szCs w:val="28"/>
        </w:rPr>
        <w:t>要求，可以满足日常劳保需要。</w:t>
      </w:r>
    </w:p>
    <w:p>
      <w:pPr>
        <w:pStyle w:val="4"/>
        <w:adjustRightInd w:val="0"/>
        <w:snapToGrid w:val="0"/>
        <w:spacing w:before="0" w:after="0" w:line="360" w:lineRule="auto"/>
        <w:rPr>
          <w:rFonts w:hint="eastAsia" w:ascii="Times New Roman" w:hAnsi="Times New Roman"/>
          <w:b w:val="0"/>
          <w:bCs/>
          <w:szCs w:val="32"/>
          <w:lang w:val="en-US" w:eastAsia="zh-CN"/>
        </w:rPr>
      </w:pPr>
      <w:bookmarkStart w:id="35" w:name="_Toc8352"/>
      <w:r>
        <w:rPr>
          <w:rFonts w:hint="eastAsia" w:ascii="Times New Roman" w:hAnsi="Times New Roman"/>
          <w:b w:val="0"/>
          <w:bCs/>
          <w:szCs w:val="32"/>
          <w:lang w:val="en-US" w:eastAsia="zh-CN"/>
        </w:rPr>
        <w:t>2.10 设备设施检测、检验情况</w:t>
      </w:r>
      <w:bookmarkEnd w:id="35"/>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sz w:val="28"/>
          <w:szCs w:val="28"/>
          <w:lang w:val="en-US" w:eastAsia="zh-CN"/>
        </w:rPr>
      </w:pPr>
      <w:r>
        <w:rPr>
          <w:rFonts w:hint="eastAsia"/>
          <w:sz w:val="28"/>
          <w:szCs w:val="28"/>
          <w:lang w:val="en-US" w:eastAsia="zh-CN"/>
        </w:rPr>
        <w:t>1.LWD</w:t>
      </w:r>
      <w:r>
        <w:rPr>
          <w:rFonts w:hint="default"/>
          <w:sz w:val="28"/>
          <w:szCs w:val="28"/>
          <w:lang w:val="en-US" w:eastAsia="zh-CN"/>
        </w:rPr>
        <w:t>地质导向仪器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Theme="minorEastAsia"/>
          <w:b/>
          <w:bCs/>
          <w:sz w:val="24"/>
          <w:szCs w:val="22"/>
          <w:lang w:val="en-US" w:eastAsia="zh-CN"/>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.10</w:t>
      </w:r>
      <w:r>
        <w:rPr>
          <w:rFonts w:eastAsiaTheme="minorEastAsia"/>
          <w:b/>
          <w:bCs/>
          <w:sz w:val="24"/>
          <w:szCs w:val="22"/>
        </w:rPr>
        <w:t>-</w:t>
      </w:r>
      <w:r>
        <w:rPr>
          <w:rFonts w:hint="eastAsia" w:eastAsiaTheme="minorEastAsia"/>
          <w:b/>
          <w:bCs/>
          <w:sz w:val="24"/>
          <w:szCs w:val="22"/>
          <w:lang w:val="en-US" w:eastAsia="zh-CN"/>
        </w:rPr>
        <w:t>1LWD检测台账</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837"/>
        <w:gridCol w:w="1225"/>
        <w:gridCol w:w="1400"/>
        <w:gridCol w:w="950"/>
        <w:gridCol w:w="1216"/>
        <w:gridCol w:w="675"/>
        <w:gridCol w:w="7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eastAsiaTheme="minorEastAsia"/>
                <w:b/>
                <w:bCs w:val="0"/>
                <w:kern w:val="0"/>
                <w:sz w:val="21"/>
                <w:szCs w:val="21"/>
                <w:lang w:val="en-US" w:eastAsia="zh-CN"/>
              </w:rPr>
            </w:pPr>
            <w:r>
              <w:rPr>
                <w:rFonts w:hint="eastAsia" w:eastAsiaTheme="minorEastAsia"/>
                <w:b/>
                <w:bCs w:val="0"/>
                <w:kern w:val="0"/>
                <w:sz w:val="21"/>
                <w:szCs w:val="21"/>
                <w:lang w:val="en-US" w:eastAsia="zh-CN"/>
              </w:rPr>
              <w:t>序号</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名称</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型号</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编号</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所在项目部</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检测校验日期</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仪器状态</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R67M772K</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长庆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2022.04.03</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R67M783D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长庆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2022.02.02</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R67M792</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长庆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2022.03.28</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4</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R67M784</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长庆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2022.03.21</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5</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R67M512D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西南</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2022.01.03</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6</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R67M798</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西南</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2022.03.16</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R67M700D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2022.03.02</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8</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R67M789D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2022.04.09</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9</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R67M790</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2022.04.01</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10</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R67M721D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2022.02.26</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11</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R67M795D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2022.04.06</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12</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R67M786D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2022.03.22</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13</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R67M704D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2022.02.19</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14</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R67M797D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2022.03.05</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15</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R67M579</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2022.03.20</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16</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R67M799</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2022.03.27</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17</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R67M796D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2022.02.24</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18</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R67M574D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2022.03.17</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19</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R67M719D</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2022.03.05</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w:t>
            </w:r>
          </w:p>
        </w:tc>
        <w:tc>
          <w:tcPr>
            <w:tcW w:w="10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LWD地质导向仪</w:t>
            </w:r>
          </w:p>
        </w:tc>
        <w:tc>
          <w:tcPr>
            <w:tcW w:w="7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777-95198</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R67M755T</w:t>
            </w:r>
          </w:p>
        </w:tc>
        <w:tc>
          <w:tcPr>
            <w:tcW w:w="55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大庆</w:t>
            </w:r>
          </w:p>
        </w:tc>
        <w:tc>
          <w:tcPr>
            <w:tcW w:w="7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2022.04.02</w:t>
            </w:r>
          </w:p>
        </w:tc>
        <w:tc>
          <w:tcPr>
            <w:tcW w:w="39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正常</w:t>
            </w:r>
          </w:p>
        </w:tc>
        <w:tc>
          <w:tcPr>
            <w:tcW w:w="4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kern w:val="0"/>
                <w:sz w:val="21"/>
                <w:szCs w:val="21"/>
              </w:rPr>
            </w:pP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sz w:val="28"/>
          <w:szCs w:val="28"/>
          <w:lang w:val="en-US" w:eastAsia="zh-CN"/>
        </w:rPr>
      </w:pPr>
      <w:r>
        <w:rPr>
          <w:rFonts w:hint="eastAsia"/>
          <w:sz w:val="28"/>
          <w:szCs w:val="28"/>
          <w:lang w:val="en-US" w:eastAsia="zh-CN"/>
        </w:rPr>
        <w:t>2.MWD</w:t>
      </w:r>
      <w:r>
        <w:rPr>
          <w:rFonts w:hint="default"/>
          <w:sz w:val="28"/>
          <w:szCs w:val="28"/>
          <w:lang w:val="en-US" w:eastAsia="zh-CN"/>
        </w:rPr>
        <w:t>无线随钻测斜仪器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Theme="minorEastAsia"/>
          <w:b/>
          <w:bCs/>
          <w:sz w:val="24"/>
          <w:szCs w:val="22"/>
          <w:lang w:val="en-US" w:eastAsia="zh-CN"/>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.10</w:t>
      </w:r>
      <w:r>
        <w:rPr>
          <w:rFonts w:eastAsiaTheme="minorEastAsia"/>
          <w:b/>
          <w:bCs/>
          <w:sz w:val="24"/>
          <w:szCs w:val="22"/>
        </w:rPr>
        <w:t>-</w:t>
      </w:r>
      <w:r>
        <w:rPr>
          <w:rFonts w:hint="eastAsia" w:eastAsiaTheme="minorEastAsia"/>
          <w:b/>
          <w:bCs/>
          <w:sz w:val="24"/>
          <w:szCs w:val="22"/>
          <w:lang w:val="en-US" w:eastAsia="zh-CN"/>
        </w:rPr>
        <w:t>2MWD仪器检测台账</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324"/>
        <w:gridCol w:w="1351"/>
        <w:gridCol w:w="1114"/>
        <w:gridCol w:w="1213"/>
        <w:gridCol w:w="1100"/>
        <w:gridCol w:w="987"/>
        <w:gridCol w:w="608"/>
        <w:gridCol w:w="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序号</w:t>
            </w:r>
          </w:p>
        </w:tc>
        <w:tc>
          <w:tcPr>
            <w:tcW w:w="776"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型号</w:t>
            </w:r>
          </w:p>
        </w:tc>
        <w:tc>
          <w:tcPr>
            <w:tcW w:w="79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名称</w:t>
            </w:r>
          </w:p>
        </w:tc>
        <w:tc>
          <w:tcPr>
            <w:tcW w:w="653"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编号</w:t>
            </w:r>
          </w:p>
        </w:tc>
        <w:tc>
          <w:tcPr>
            <w:tcW w:w="711"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标定时间</w:t>
            </w:r>
          </w:p>
        </w:tc>
        <w:tc>
          <w:tcPr>
            <w:tcW w:w="645"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到期时间</w:t>
            </w:r>
          </w:p>
        </w:tc>
        <w:tc>
          <w:tcPr>
            <w:tcW w:w="579"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当前所在项目部</w:t>
            </w:r>
          </w:p>
        </w:tc>
        <w:tc>
          <w:tcPr>
            <w:tcW w:w="357"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仪器状态</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b/>
                <w:kern w:val="0"/>
                <w:sz w:val="18"/>
                <w:szCs w:val="18"/>
              </w:rPr>
            </w:pPr>
            <w:r>
              <w:rPr>
                <w:rFonts w:hint="default" w:eastAsiaTheme="minorEastAsia"/>
                <w:b/>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125000AD-00023</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2021.12.22</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2022.12.21</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冀东</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125000AD-00049</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2021.12.01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2022.11.30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冀东</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125000AD-00021</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2021.09.09</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2022.09.08</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125000AD-00022</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2022.02.14</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2023.02.13</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125000AD-00026</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2022.03.25</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2023.03.24</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125000AD-00028</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2022.03.21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2023.03.20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125000AD-00030</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2022.01.13</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2023.01.12</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125000AD-00032</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2021.11.22</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2022.11.21</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125000AD-00033</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2021.09.23</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2022.09.22</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125000AD-0034</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2021.12.07</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2022.12.06</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125000AD-00035</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2022.02.21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2023.02.20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125000AD-00036</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2022.07.07</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2023.07.06</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125000AD-00037</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2022.07.11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2023.07.10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青海</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125000AD-00038</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2021.11.01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2022.10.31</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青海</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125000AD-00039</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2021.10.04</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2022.10.03</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吐哈</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125000AD-00040</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2022.03.11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2023.03.10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吐哈</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125000AD-00042</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2022.01.19</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2023.01.18</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125000AD-00043</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2022.03.25</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2023.03.24</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125000AD-00044</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2022.05.10</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2023.05.09</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125000AD-00046</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2021.12.14</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2022.12.13</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125000AD-00045</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2022.01.18</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2023.01.17</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125000AD-00048</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2021.10.05</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2022.10.04</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125000AD-00050</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2022.02.11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2023.02.10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125000AD-00051</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2022.03.21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2023.03.20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125000AD-00052</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2022.02.21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2023.02.20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125000AD-00053</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2022.01.10</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2023.01.09</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125000AD-00054</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2022.03.02</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2023.03.01</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125000AD-00055</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2022.04.06</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2023.04.05</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125000AD-00056</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2022.04.25</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2023.04.24</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125000AD-00058</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2021.11.29</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2022.11.28</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125000AD-00059</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2022.02.18</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2023.02.17</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125000AD-00060</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2022.04.28</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2023.04.27</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125000AD-00061</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2021.12.29</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2022.12.28</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125000AD-00063</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2022.05.16</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2023.05.15</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125000AD-00064</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2021.11.04</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2022.11.03</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125000AD-00065</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2022.03.17</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2023.03.16</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125000AD-00066</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2022.04.22</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2023.04.21</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125000AD-00067</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2021.08.17</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2022.08.16</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125000AD-00068</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2021.09.10</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2022.09.09</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125000AD-00069</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2022.01.24</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2023.01.23</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125000AD-00070</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2022.03.11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2023.03.10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125000AD-00071</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2022.03.22</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2023.03.21</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125000AD-00073</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2022.01.20</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2023.01.19</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125000AD-00075</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2021.12.03</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2022.12.02</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125000AD-00076</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2022.03.09</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2023.03.08</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125000AD-00077</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2022.03.10</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2023.03.09</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125000AD-00078</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2022.04.13</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2023.04.12</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125000AD-00079</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2022.02.14</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2023.02.13</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125000AD-00080</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2022.03.19</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2023.03.18</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JP-900610AA-003</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2021.12.07</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2022.12.06</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JP-900610AA-002</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2021.09.13</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2022.09.12</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JP-900610AC-0004</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2021.12.25</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2022.12.24</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JP-900610AC-0007</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2022.01.28</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2023.01.27</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JP-900610AC-0005</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2022.01.07</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2023.01.06</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JP-900610AC-0006</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2022.02.11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2023.02.10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JP-900610AC-0008</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2022.02.17</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2023.02.16</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JP-900610AC-0009</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2022.02.11</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2023.02.10</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 w:type="pct"/>
            <w:shd w:val="clear" w:color="auto" w:fill="auto"/>
            <w:vAlign w:val="center"/>
          </w:tcPr>
          <w:p>
            <w:pPr>
              <w:keepNext w:val="0"/>
              <w:keepLines w:val="0"/>
              <w:widowControl/>
              <w:numPr>
                <w:ilvl w:val="0"/>
                <w:numId w:val="15"/>
              </w:numPr>
              <w:suppressLineNumbers w:val="0"/>
              <w:adjustRightInd w:val="0"/>
              <w:snapToGrid w:val="0"/>
              <w:spacing w:before="0" w:beforeAutospacing="0" w:after="0" w:afterAutospacing="0"/>
              <w:ind w:right="0"/>
              <w:jc w:val="center"/>
              <w:rPr>
                <w:rFonts w:hint="default" w:eastAsiaTheme="minorEastAsia"/>
                <w:kern w:val="0"/>
                <w:sz w:val="18"/>
                <w:szCs w:val="18"/>
              </w:rPr>
            </w:pPr>
          </w:p>
        </w:tc>
        <w:tc>
          <w:tcPr>
            <w:tcW w:w="776"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GMWD-125000AC-003</w:t>
            </w:r>
          </w:p>
        </w:tc>
        <w:tc>
          <w:tcPr>
            <w:tcW w:w="792"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MWD无线随钻测斜仪</w:t>
            </w:r>
          </w:p>
        </w:tc>
        <w:tc>
          <w:tcPr>
            <w:tcW w:w="653"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JP-900610AC-0010</w:t>
            </w:r>
          </w:p>
        </w:tc>
        <w:tc>
          <w:tcPr>
            <w:tcW w:w="1212"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2022.01.13</w:t>
            </w:r>
          </w:p>
        </w:tc>
        <w:tc>
          <w:tcPr>
            <w:tcW w:w="1100" w:type="dxa"/>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eastAsia" w:eastAsiaTheme="minorEastAsia"/>
                <w:kern w:val="0"/>
                <w:sz w:val="18"/>
                <w:szCs w:val="18"/>
              </w:rPr>
              <w:t>2023.01.12</w:t>
            </w:r>
          </w:p>
        </w:tc>
        <w:tc>
          <w:tcPr>
            <w:tcW w:w="579"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西北</w:t>
            </w:r>
          </w:p>
        </w:tc>
        <w:tc>
          <w:tcPr>
            <w:tcW w:w="357" w:type="pct"/>
            <w:shd w:val="clear" w:color="auto" w:fill="auto"/>
            <w:vAlign w:val="center"/>
          </w:tcPr>
          <w:p>
            <w:pPr>
              <w:keepNext w:val="0"/>
              <w:keepLines w:val="0"/>
              <w:widowControl/>
              <w:suppressLineNumbers w:val="0"/>
              <w:adjustRightInd w:val="0"/>
              <w:snapToGrid w:val="0"/>
              <w:spacing w:before="31" w:beforeLines="10" w:beforeAutospacing="0" w:after="31" w:afterLines="10" w:afterAutospacing="0"/>
              <w:ind w:left="0" w:right="0"/>
              <w:jc w:val="center"/>
              <w:rPr>
                <w:rFonts w:hint="default" w:eastAsiaTheme="minorEastAsia"/>
                <w:kern w:val="0"/>
                <w:sz w:val="18"/>
                <w:szCs w:val="18"/>
              </w:rPr>
            </w:pPr>
            <w:r>
              <w:rPr>
                <w:rFonts w:hint="default" w:eastAsiaTheme="minorEastAsia"/>
                <w:kern w:val="0"/>
                <w:sz w:val="18"/>
                <w:szCs w:val="18"/>
              </w:rPr>
              <w:t>正常</w:t>
            </w:r>
          </w:p>
        </w:tc>
        <w:tc>
          <w:tcPr>
            <w:tcW w:w="242" w:type="pc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eastAsiaTheme="minorEastAsia"/>
                <w:kern w:val="0"/>
                <w:sz w:val="18"/>
                <w:szCs w:val="18"/>
              </w:rPr>
            </w:pP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sz w:val="28"/>
          <w:szCs w:val="28"/>
          <w:lang w:val="en-US" w:eastAsia="zh-CN"/>
        </w:rPr>
      </w:pPr>
      <w:r>
        <w:rPr>
          <w:rFonts w:hint="eastAsia"/>
          <w:sz w:val="28"/>
          <w:szCs w:val="28"/>
          <w:lang w:val="en-US" w:eastAsia="zh-CN"/>
        </w:rPr>
        <w:t>3.无磁钻铤</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Theme="minorEastAsia"/>
          <w:b/>
          <w:bCs/>
          <w:sz w:val="24"/>
          <w:szCs w:val="22"/>
          <w:lang w:val="en-US" w:eastAsia="zh-CN"/>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.10</w:t>
      </w:r>
      <w:r>
        <w:rPr>
          <w:rFonts w:eastAsiaTheme="minorEastAsia"/>
          <w:b/>
          <w:bCs/>
          <w:sz w:val="24"/>
          <w:szCs w:val="22"/>
        </w:rPr>
        <w:t>-</w:t>
      </w:r>
      <w:r>
        <w:rPr>
          <w:rFonts w:hint="eastAsia" w:eastAsiaTheme="minorEastAsia"/>
          <w:b/>
          <w:bCs/>
          <w:sz w:val="24"/>
          <w:szCs w:val="22"/>
          <w:lang w:val="en-US" w:eastAsia="zh-CN"/>
        </w:rPr>
        <w:t>3无磁钻铤检测台账</w:t>
      </w:r>
    </w:p>
    <w:tbl>
      <w:tblPr>
        <w:tblStyle w:val="52"/>
        <w:tblW w:w="86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090"/>
        <w:gridCol w:w="1318"/>
        <w:gridCol w:w="1996"/>
        <w:gridCol w:w="1100"/>
        <w:gridCol w:w="1200"/>
        <w:gridCol w:w="663"/>
        <w:gridCol w:w="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eastAsiaTheme="minorEastAsia"/>
                <w:b/>
                <w:bCs w:val="0"/>
                <w:kern w:val="0"/>
                <w:sz w:val="21"/>
                <w:szCs w:val="21"/>
                <w:lang w:val="en-US" w:eastAsia="zh-CN"/>
              </w:rPr>
            </w:pPr>
            <w:r>
              <w:rPr>
                <w:rFonts w:hint="eastAsia" w:eastAsiaTheme="minorEastAsia"/>
                <w:b/>
                <w:bCs w:val="0"/>
                <w:kern w:val="0"/>
                <w:sz w:val="21"/>
                <w:szCs w:val="21"/>
                <w:lang w:val="en-US" w:eastAsia="zh-CN"/>
              </w:rPr>
              <w:t>序号</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名称</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资产编号</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报告编号</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型号</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上次检验日期</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工具状态</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D67C834K</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4</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2</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CS6956</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4</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15</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CY137</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xml:space="preserve">ZJGJ/QSR-ZJ070 </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4</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27</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4</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2011132055</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ZJGJ/QSR-ZJ070</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4</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27</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5</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2011152058</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JXS/QSR-SYS001</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2021</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12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4</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探伤检测后未使用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6</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JN024</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ZJGJ/QSR-ZJ070</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1</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19</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07062-3</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ZJGJ/QSR-ZJ070</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1</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19</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8</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JN0181</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ZJGJ/QSR-ZJ070</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25</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9</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WZ22001-SLB</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xml:space="preserve">SDNDT/WI02-2021 </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3</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14</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10</w:t>
            </w:r>
          </w:p>
        </w:tc>
        <w:tc>
          <w:tcPr>
            <w:tcW w:w="10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无磁钻铤</w:t>
            </w:r>
          </w:p>
        </w:tc>
        <w:tc>
          <w:tcPr>
            <w:tcW w:w="131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WZ22002-SLB</w:t>
            </w:r>
          </w:p>
        </w:tc>
        <w:tc>
          <w:tcPr>
            <w:tcW w:w="199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xml:space="preserve">SDNDT/WI02-2021 </w:t>
            </w:r>
          </w:p>
        </w:tc>
        <w:tc>
          <w:tcPr>
            <w:tcW w:w="11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φ172mm</w:t>
            </w:r>
          </w:p>
        </w:tc>
        <w:tc>
          <w:tcPr>
            <w:tcW w:w="120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3</w:t>
            </w:r>
            <w:r>
              <w:rPr>
                <w:rFonts w:hint="eastAsia" w:cs="Times New Roman" w:eastAsiaTheme="minorEastAsia"/>
                <w:kern w:val="0"/>
                <w:sz w:val="21"/>
                <w:szCs w:val="21"/>
                <w:lang w:val="en-US" w:eastAsia="zh-CN"/>
              </w:rPr>
              <w:t>.</w:t>
            </w:r>
            <w:r>
              <w:rPr>
                <w:rFonts w:hint="eastAsia" w:ascii="Times New Roman" w:hAnsi="Times New Roman" w:cs="Times New Roman" w:eastAsiaTheme="minorEastAsia"/>
                <w:kern w:val="0"/>
                <w:sz w:val="21"/>
                <w:szCs w:val="21"/>
                <w:lang w:val="en-US" w:eastAsia="zh-CN"/>
              </w:rPr>
              <w:t>14</w:t>
            </w:r>
          </w:p>
        </w:tc>
        <w:tc>
          <w:tcPr>
            <w:tcW w:w="66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良好</w:t>
            </w:r>
          </w:p>
        </w:tc>
        <w:tc>
          <w:tcPr>
            <w:tcW w:w="7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　</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sz w:val="28"/>
          <w:szCs w:val="28"/>
          <w:lang w:val="en-US" w:eastAsia="zh-CN"/>
        </w:rPr>
      </w:pPr>
      <w:r>
        <w:rPr>
          <w:rFonts w:hint="eastAsia"/>
          <w:sz w:val="28"/>
          <w:szCs w:val="28"/>
          <w:lang w:val="en-US" w:eastAsia="zh-CN"/>
        </w:rPr>
        <w:t>4.脉冲发生器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Theme="minorEastAsia"/>
          <w:b/>
          <w:bCs/>
          <w:sz w:val="24"/>
          <w:szCs w:val="22"/>
          <w:lang w:val="en-US" w:eastAsia="zh-CN"/>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.10</w:t>
      </w:r>
      <w:r>
        <w:rPr>
          <w:rFonts w:eastAsiaTheme="minorEastAsia"/>
          <w:b/>
          <w:bCs/>
          <w:sz w:val="24"/>
          <w:szCs w:val="22"/>
        </w:rPr>
        <w:t>-</w:t>
      </w:r>
      <w:r>
        <w:rPr>
          <w:rFonts w:hint="eastAsia" w:eastAsiaTheme="minorEastAsia"/>
          <w:b/>
          <w:bCs/>
          <w:sz w:val="24"/>
          <w:szCs w:val="22"/>
          <w:lang w:val="en-US" w:eastAsia="zh-CN"/>
        </w:rPr>
        <w:t>4脉冲发生器检测台账</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36"/>
        <w:gridCol w:w="1688"/>
        <w:gridCol w:w="1012"/>
        <w:gridCol w:w="1063"/>
        <w:gridCol w:w="1487"/>
        <w:gridCol w:w="988"/>
        <w:gridCol w:w="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eastAsiaTheme="minorEastAsia"/>
                <w:b/>
                <w:bCs w:val="0"/>
                <w:kern w:val="0"/>
                <w:sz w:val="21"/>
                <w:szCs w:val="21"/>
                <w:lang w:val="en-US" w:eastAsia="zh-CN"/>
              </w:rPr>
            </w:pPr>
            <w:r>
              <w:rPr>
                <w:rFonts w:hint="eastAsia" w:eastAsiaTheme="minorEastAsia"/>
                <w:b/>
                <w:bCs w:val="0"/>
                <w:kern w:val="0"/>
                <w:sz w:val="21"/>
                <w:szCs w:val="21"/>
                <w:lang w:val="en-US" w:eastAsia="zh-CN"/>
              </w:rPr>
              <w:t>序号</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总成编号</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电磁阀编号</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维修保养级别</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返回地</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维修保养日期</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规格</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03020527-0061</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M1A4200A0-0022</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三级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highlight w:val="none"/>
                <w:lang w:val="en-US" w:eastAsia="zh-CN"/>
              </w:rPr>
              <w:t>青海</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2022.4.2</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342</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03020528-0052</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二级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长庆</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2022.4.22</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03020527-0057</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035</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二级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冀东</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2022.5.9</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4</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03020527-0046</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03020528-0060</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三级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青海</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2022.4.2</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5</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M1A4009A0-0015</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028</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二级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青海</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2022.3.3</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6</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03020527-0003</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03020528-0047</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二级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西南</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2022.3.8</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7</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03025027-0075</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03020528-0070</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三级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西南</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2022.3.24</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8</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03025027-0076</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161002AA-089</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二级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西南</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2022.3.24</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9</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331</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161002AA-081</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二级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西南</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2022.5.6</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10</w:t>
            </w:r>
          </w:p>
        </w:tc>
        <w:tc>
          <w:tcPr>
            <w:tcW w:w="66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03020527-0018</w:t>
            </w:r>
          </w:p>
        </w:tc>
        <w:tc>
          <w:tcPr>
            <w:tcW w:w="9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161002AA-078</w:t>
            </w:r>
          </w:p>
        </w:tc>
        <w:tc>
          <w:tcPr>
            <w:tcW w:w="59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二级</w:t>
            </w:r>
          </w:p>
        </w:tc>
        <w:tc>
          <w:tcPr>
            <w:tcW w:w="6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西南</w:t>
            </w:r>
          </w:p>
        </w:tc>
        <w:tc>
          <w:tcPr>
            <w:tcW w:w="8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2022.5.8</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6.75”</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ascii="Times New Roman" w:hAnsi="Times New Roman" w:cs="Times New Roman" w:eastAsiaTheme="minorEastAsia"/>
                <w:kern w:val="0"/>
                <w:sz w:val="21"/>
                <w:szCs w:val="21"/>
                <w:lang w:val="en-US" w:eastAsia="zh-CN"/>
              </w:rPr>
            </w:pP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sz w:val="28"/>
          <w:szCs w:val="28"/>
          <w:lang w:val="en-US" w:eastAsia="zh-CN"/>
        </w:rPr>
      </w:pPr>
      <w:r>
        <w:rPr>
          <w:rFonts w:hint="eastAsia"/>
          <w:sz w:val="28"/>
          <w:szCs w:val="28"/>
          <w:lang w:val="en-US" w:eastAsia="zh-CN"/>
        </w:rPr>
        <w:t>5.悬挂短节</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Theme="minorEastAsia"/>
          <w:b/>
          <w:bCs/>
          <w:sz w:val="24"/>
          <w:szCs w:val="22"/>
          <w:lang w:val="en-US" w:eastAsia="zh-CN"/>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.10</w:t>
      </w:r>
      <w:r>
        <w:rPr>
          <w:rFonts w:eastAsiaTheme="minorEastAsia"/>
          <w:b/>
          <w:bCs/>
          <w:sz w:val="24"/>
          <w:szCs w:val="22"/>
        </w:rPr>
        <w:t>-</w:t>
      </w:r>
      <w:r>
        <w:rPr>
          <w:rFonts w:hint="eastAsia" w:eastAsiaTheme="minorEastAsia"/>
          <w:b/>
          <w:bCs/>
          <w:sz w:val="24"/>
          <w:szCs w:val="22"/>
          <w:lang w:val="en-US" w:eastAsia="zh-CN"/>
        </w:rPr>
        <w:t>5悬挂短节检测台账</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49"/>
        <w:gridCol w:w="1200"/>
        <w:gridCol w:w="1125"/>
        <w:gridCol w:w="1425"/>
        <w:gridCol w:w="727"/>
        <w:gridCol w:w="760"/>
        <w:gridCol w:w="988"/>
        <w:gridCol w:w="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eastAsiaTheme="minorEastAsia"/>
                <w:b/>
                <w:bCs w:val="0"/>
                <w:kern w:val="0"/>
                <w:sz w:val="21"/>
                <w:szCs w:val="21"/>
                <w:lang w:val="en-US" w:eastAsia="zh-CN"/>
              </w:rPr>
            </w:pPr>
            <w:r>
              <w:rPr>
                <w:rFonts w:hint="eastAsia" w:eastAsiaTheme="minorEastAsia"/>
                <w:b/>
                <w:bCs w:val="0"/>
                <w:kern w:val="0"/>
                <w:sz w:val="21"/>
                <w:szCs w:val="21"/>
                <w:lang w:val="en-US" w:eastAsia="zh-CN"/>
              </w:rPr>
              <w:t>序号</w:t>
            </w:r>
          </w:p>
        </w:tc>
        <w:tc>
          <w:tcPr>
            <w:tcW w:w="6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工具名称</w:t>
            </w:r>
          </w:p>
        </w:tc>
        <w:tc>
          <w:tcPr>
            <w:tcW w:w="7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工具编号</w:t>
            </w:r>
          </w:p>
        </w:tc>
        <w:tc>
          <w:tcPr>
            <w:tcW w:w="6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规格</w:t>
            </w:r>
          </w:p>
        </w:tc>
        <w:tc>
          <w:tcPr>
            <w:tcW w:w="8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签发日期</w:t>
            </w:r>
          </w:p>
        </w:tc>
        <w:tc>
          <w:tcPr>
            <w:tcW w:w="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评定等级</w:t>
            </w:r>
          </w:p>
        </w:tc>
        <w:tc>
          <w:tcPr>
            <w:tcW w:w="44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检测结果</w:t>
            </w:r>
          </w:p>
        </w:tc>
        <w:tc>
          <w:tcPr>
            <w:tcW w:w="57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检测机构</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w:t>
            </w:r>
          </w:p>
        </w:tc>
        <w:tc>
          <w:tcPr>
            <w:tcW w:w="6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悬挂短节</w:t>
            </w:r>
          </w:p>
        </w:tc>
        <w:tc>
          <w:tcPr>
            <w:tcW w:w="7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GW62251</w:t>
            </w:r>
          </w:p>
        </w:tc>
        <w:tc>
          <w:tcPr>
            <w:tcW w:w="6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521*520</w:t>
            </w:r>
          </w:p>
        </w:tc>
        <w:tc>
          <w:tcPr>
            <w:tcW w:w="8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2022.5.6</w:t>
            </w:r>
          </w:p>
        </w:tc>
        <w:tc>
          <w:tcPr>
            <w:tcW w:w="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Ⅰ级</w:t>
            </w:r>
          </w:p>
        </w:tc>
        <w:tc>
          <w:tcPr>
            <w:tcW w:w="44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合格</w:t>
            </w:r>
          </w:p>
        </w:tc>
        <w:tc>
          <w:tcPr>
            <w:tcW w:w="579"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cs="Times New Roman" w:eastAsiaTheme="minorEastAsia"/>
                <w:kern w:val="0"/>
                <w:sz w:val="21"/>
                <w:szCs w:val="21"/>
                <w:lang w:val="en-US" w:eastAsia="zh-CN"/>
              </w:rPr>
              <w:t>山东胜油钻采机械有限公司</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w:t>
            </w:r>
          </w:p>
        </w:tc>
        <w:tc>
          <w:tcPr>
            <w:tcW w:w="6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悬挂短节</w:t>
            </w:r>
          </w:p>
        </w:tc>
        <w:tc>
          <w:tcPr>
            <w:tcW w:w="7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GW62252</w:t>
            </w:r>
          </w:p>
        </w:tc>
        <w:tc>
          <w:tcPr>
            <w:tcW w:w="6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521*520</w:t>
            </w:r>
          </w:p>
        </w:tc>
        <w:tc>
          <w:tcPr>
            <w:tcW w:w="8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2022.5.6</w:t>
            </w:r>
          </w:p>
        </w:tc>
        <w:tc>
          <w:tcPr>
            <w:tcW w:w="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Ⅰ级</w:t>
            </w:r>
          </w:p>
        </w:tc>
        <w:tc>
          <w:tcPr>
            <w:tcW w:w="44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合格</w:t>
            </w:r>
          </w:p>
        </w:tc>
        <w:tc>
          <w:tcPr>
            <w:tcW w:w="579"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3</w:t>
            </w:r>
          </w:p>
        </w:tc>
        <w:tc>
          <w:tcPr>
            <w:tcW w:w="6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悬挂短节</w:t>
            </w:r>
          </w:p>
        </w:tc>
        <w:tc>
          <w:tcPr>
            <w:tcW w:w="7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GW62253</w:t>
            </w:r>
          </w:p>
        </w:tc>
        <w:tc>
          <w:tcPr>
            <w:tcW w:w="6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731*730</w:t>
            </w:r>
          </w:p>
        </w:tc>
        <w:tc>
          <w:tcPr>
            <w:tcW w:w="8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2022.5.6</w:t>
            </w:r>
          </w:p>
        </w:tc>
        <w:tc>
          <w:tcPr>
            <w:tcW w:w="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Ⅰ级</w:t>
            </w:r>
          </w:p>
        </w:tc>
        <w:tc>
          <w:tcPr>
            <w:tcW w:w="44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合格</w:t>
            </w:r>
          </w:p>
        </w:tc>
        <w:tc>
          <w:tcPr>
            <w:tcW w:w="579"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4</w:t>
            </w:r>
          </w:p>
        </w:tc>
        <w:tc>
          <w:tcPr>
            <w:tcW w:w="6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悬挂短节</w:t>
            </w:r>
          </w:p>
        </w:tc>
        <w:tc>
          <w:tcPr>
            <w:tcW w:w="7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GW62254</w:t>
            </w:r>
          </w:p>
        </w:tc>
        <w:tc>
          <w:tcPr>
            <w:tcW w:w="6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731*730</w:t>
            </w:r>
          </w:p>
        </w:tc>
        <w:tc>
          <w:tcPr>
            <w:tcW w:w="8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2022.5.6</w:t>
            </w:r>
          </w:p>
        </w:tc>
        <w:tc>
          <w:tcPr>
            <w:tcW w:w="4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Ⅰ级</w:t>
            </w:r>
          </w:p>
        </w:tc>
        <w:tc>
          <w:tcPr>
            <w:tcW w:w="44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合格</w:t>
            </w:r>
          </w:p>
        </w:tc>
        <w:tc>
          <w:tcPr>
            <w:tcW w:w="579"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eastAsia="宋体"/>
          <w:sz w:val="28"/>
          <w:szCs w:val="28"/>
          <w:lang w:val="en-US" w:eastAsia="zh-CN"/>
        </w:rPr>
      </w:pPr>
      <w:r>
        <w:rPr>
          <w:rFonts w:hint="eastAsia"/>
          <w:sz w:val="28"/>
          <w:szCs w:val="28"/>
          <w:lang w:val="en-US" w:eastAsia="zh-CN"/>
        </w:rPr>
        <w:t>6.</w:t>
      </w:r>
      <w:r>
        <w:rPr>
          <w:rFonts w:hint="default"/>
          <w:sz w:val="28"/>
          <w:szCs w:val="28"/>
          <w:lang w:val="en-US" w:eastAsia="zh-CN"/>
        </w:rPr>
        <w:t>电子单多点测斜仪器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Theme="minorEastAsia"/>
          <w:b/>
          <w:bCs/>
          <w:sz w:val="24"/>
          <w:szCs w:val="22"/>
          <w:lang w:val="en-US" w:eastAsia="zh-CN"/>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.10</w:t>
      </w:r>
      <w:r>
        <w:rPr>
          <w:rFonts w:eastAsiaTheme="minorEastAsia"/>
          <w:b/>
          <w:bCs/>
          <w:sz w:val="24"/>
          <w:szCs w:val="22"/>
        </w:rPr>
        <w:t>-</w:t>
      </w:r>
      <w:r>
        <w:rPr>
          <w:rFonts w:hint="eastAsia" w:eastAsiaTheme="minorEastAsia"/>
          <w:b/>
          <w:bCs/>
          <w:sz w:val="24"/>
          <w:szCs w:val="22"/>
          <w:lang w:val="en-US" w:eastAsia="zh-CN"/>
        </w:rPr>
        <w:t>6</w:t>
      </w:r>
      <w:r>
        <w:rPr>
          <w:rFonts w:hint="default" w:eastAsiaTheme="minorEastAsia"/>
          <w:b/>
          <w:bCs/>
          <w:sz w:val="24"/>
          <w:szCs w:val="22"/>
          <w:lang w:val="en-US" w:eastAsia="zh-CN"/>
        </w:rPr>
        <w:t>电子单多点测斜仪器</w:t>
      </w:r>
      <w:r>
        <w:rPr>
          <w:rFonts w:hint="eastAsia" w:eastAsiaTheme="minorEastAsia"/>
          <w:b/>
          <w:bCs/>
          <w:sz w:val="24"/>
          <w:szCs w:val="22"/>
          <w:lang w:val="en-US" w:eastAsia="zh-CN"/>
        </w:rPr>
        <w:t>检测台账</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00"/>
        <w:gridCol w:w="1262"/>
        <w:gridCol w:w="1138"/>
        <w:gridCol w:w="1200"/>
        <w:gridCol w:w="1137"/>
        <w:gridCol w:w="1237"/>
        <w:gridCol w:w="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eastAsiaTheme="minorEastAsia"/>
                <w:b/>
                <w:bCs w:val="0"/>
                <w:kern w:val="0"/>
                <w:sz w:val="21"/>
                <w:szCs w:val="21"/>
                <w:lang w:val="en-US" w:eastAsia="zh-CN"/>
              </w:rPr>
            </w:pPr>
            <w:r>
              <w:rPr>
                <w:rFonts w:hint="eastAsia" w:eastAsiaTheme="minorEastAsia"/>
                <w:b/>
                <w:bCs w:val="0"/>
                <w:kern w:val="0"/>
                <w:sz w:val="21"/>
                <w:szCs w:val="21"/>
                <w:lang w:val="en-US" w:eastAsia="zh-CN"/>
              </w:rPr>
              <w:t>序号</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名称</w:t>
            </w:r>
          </w:p>
        </w:tc>
        <w:tc>
          <w:tcPr>
            <w:tcW w:w="74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仪器号</w:t>
            </w:r>
          </w:p>
        </w:tc>
        <w:tc>
          <w:tcPr>
            <w:tcW w:w="66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保养等级</w:t>
            </w:r>
          </w:p>
        </w:tc>
        <w:tc>
          <w:tcPr>
            <w:tcW w:w="7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检测日期</w:t>
            </w:r>
          </w:p>
        </w:tc>
        <w:tc>
          <w:tcPr>
            <w:tcW w:w="66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有效日期</w:t>
            </w:r>
          </w:p>
        </w:tc>
        <w:tc>
          <w:tcPr>
            <w:tcW w:w="72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评定结论</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eastAsiaTheme="minorEastAsia"/>
                <w:b/>
                <w:bCs w:val="0"/>
                <w:kern w:val="0"/>
                <w:sz w:val="21"/>
                <w:szCs w:val="21"/>
                <w:lang w:val="en-US" w:eastAsia="zh-CN"/>
              </w:rPr>
            </w:pPr>
            <w:r>
              <w:rPr>
                <w:rFonts w:hint="eastAsia" w:eastAsiaTheme="minorEastAsia"/>
                <w:b/>
                <w:bCs w:val="0"/>
                <w:kern w:val="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1</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单多点探管</w:t>
            </w:r>
          </w:p>
        </w:tc>
        <w:tc>
          <w:tcPr>
            <w:tcW w:w="74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F2708186</w:t>
            </w:r>
          </w:p>
        </w:tc>
        <w:tc>
          <w:tcPr>
            <w:tcW w:w="66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一级保养</w:t>
            </w:r>
          </w:p>
        </w:tc>
        <w:tc>
          <w:tcPr>
            <w:tcW w:w="7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2022.4.7</w:t>
            </w:r>
          </w:p>
        </w:tc>
        <w:tc>
          <w:tcPr>
            <w:tcW w:w="66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2022.10.7</w:t>
            </w:r>
          </w:p>
        </w:tc>
        <w:tc>
          <w:tcPr>
            <w:tcW w:w="72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正常</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Theme="minorEastAsia"/>
                <w:kern w:val="0"/>
                <w:sz w:val="21"/>
                <w:szCs w:val="21"/>
                <w:lang w:val="en-US" w:eastAsia="zh-CN"/>
              </w:rPr>
            </w:pPr>
            <w:r>
              <w:rPr>
                <w:rFonts w:hint="eastAsia" w:eastAsiaTheme="minorEastAsia"/>
                <w:kern w:val="0"/>
                <w:sz w:val="21"/>
                <w:szCs w:val="21"/>
                <w:lang w:val="en-US" w:eastAsia="zh-CN"/>
              </w:rPr>
              <w:t>2</w:t>
            </w:r>
          </w:p>
        </w:tc>
        <w:tc>
          <w:tcPr>
            <w:tcW w:w="82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单多点探管</w:t>
            </w:r>
          </w:p>
        </w:tc>
        <w:tc>
          <w:tcPr>
            <w:tcW w:w="74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F2708187</w:t>
            </w:r>
          </w:p>
        </w:tc>
        <w:tc>
          <w:tcPr>
            <w:tcW w:w="66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一级保养</w:t>
            </w:r>
          </w:p>
        </w:tc>
        <w:tc>
          <w:tcPr>
            <w:tcW w:w="7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2022.4.8</w:t>
            </w:r>
          </w:p>
        </w:tc>
        <w:tc>
          <w:tcPr>
            <w:tcW w:w="66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2022.10.8</w:t>
            </w:r>
          </w:p>
        </w:tc>
        <w:tc>
          <w:tcPr>
            <w:tcW w:w="72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r>
              <w:rPr>
                <w:rFonts w:hint="eastAsia" w:ascii="Times New Roman" w:hAnsi="Times New Roman" w:cs="Times New Roman" w:eastAsiaTheme="minorEastAsia"/>
                <w:kern w:val="0"/>
                <w:sz w:val="21"/>
                <w:szCs w:val="21"/>
                <w:lang w:val="en-US" w:eastAsia="zh-CN"/>
              </w:rPr>
              <w:t>正常</w:t>
            </w:r>
          </w:p>
        </w:tc>
        <w:tc>
          <w:tcPr>
            <w:tcW w:w="42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cs="Times New Roman" w:eastAsiaTheme="minorEastAsia"/>
                <w:kern w:val="0"/>
                <w:sz w:val="21"/>
                <w:szCs w:val="21"/>
                <w:lang w:val="en-US" w:eastAsia="zh-CN"/>
              </w:rPr>
            </w:pP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sz w:val="28"/>
          <w:szCs w:val="28"/>
          <w:lang w:val="en-US" w:eastAsia="zh-CN"/>
        </w:rPr>
      </w:pPr>
      <w:r>
        <w:rPr>
          <w:rFonts w:hint="eastAsia"/>
          <w:sz w:val="28"/>
          <w:szCs w:val="28"/>
          <w:lang w:val="en-US" w:eastAsia="zh-CN"/>
        </w:rPr>
        <w:t>7.正压式空气呼吸器、</w:t>
      </w:r>
      <w:r>
        <w:rPr>
          <w:rFonts w:ascii="Times New Roman" w:hAnsi="Times New Roman" w:cs="Times New Roman"/>
          <w:smallCaps w:val="0"/>
          <w:color w:val="auto"/>
          <w:sz w:val="28"/>
        </w:rPr>
        <w:t>硫化氢气体检测报警器</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smallCaps w:val="0"/>
          <w:color w:val="auto"/>
          <w:sz w:val="28"/>
          <w:lang w:val="en-US" w:eastAsia="zh-CN"/>
        </w:rPr>
      </w:pPr>
      <w:r>
        <w:rPr>
          <w:rFonts w:hint="eastAsia"/>
          <w:sz w:val="28"/>
          <w:szCs w:val="28"/>
          <w:lang w:val="en-US" w:eastAsia="zh-CN"/>
        </w:rPr>
        <w:t>该公司</w:t>
      </w:r>
      <w:r>
        <w:rPr>
          <w:rFonts w:ascii="Times New Roman" w:hAnsi="Times New Roman" w:cs="Times New Roman"/>
          <w:smallCaps w:val="0"/>
          <w:color w:val="auto"/>
          <w:sz w:val="28"/>
        </w:rPr>
        <w:t>为</w:t>
      </w:r>
      <w:r>
        <w:rPr>
          <w:rFonts w:hint="eastAsia" w:cs="Times New Roman"/>
          <w:smallCaps w:val="0"/>
          <w:color w:val="auto"/>
          <w:sz w:val="28"/>
          <w:lang w:val="en-US" w:eastAsia="zh-CN"/>
        </w:rPr>
        <w:t>各项目部</w:t>
      </w:r>
      <w:r>
        <w:rPr>
          <w:rFonts w:ascii="Times New Roman" w:hAnsi="Times New Roman" w:cs="Times New Roman"/>
          <w:smallCaps w:val="0"/>
          <w:color w:val="auto"/>
          <w:sz w:val="28"/>
        </w:rPr>
        <w:t>配备有硫化氢气体检测报警器、正压式空气呼吸器等，且均在检验有效期内，其硫化氢气体检测报警器、正压式空气呼吸器</w:t>
      </w:r>
      <w:r>
        <w:rPr>
          <w:rFonts w:hint="eastAsia" w:ascii="Times New Roman" w:hAnsi="Times New Roman" w:cs="Times New Roman"/>
          <w:smallCaps w:val="0"/>
          <w:color w:val="auto"/>
          <w:sz w:val="28"/>
          <w:lang w:val="en-US" w:eastAsia="zh-CN"/>
        </w:rPr>
        <w:t>台账</w:t>
      </w:r>
      <w:r>
        <w:rPr>
          <w:rFonts w:hint="eastAsia" w:cs="Times New Roman"/>
          <w:smallCaps w:val="0"/>
          <w:color w:val="auto"/>
          <w:sz w:val="28"/>
          <w:lang w:val="en-US" w:eastAsia="zh-CN"/>
        </w:rPr>
        <w:t>如下表所示，同时在东营本部公司库房内备有部分数量的正压式空气呼吸器与便携式硫化氢报警仪，根据项目部作业人员数量与涉硫化氢情况按需调配，满足</w:t>
      </w:r>
      <w:r>
        <w:rPr>
          <w:rFonts w:ascii="Times New Roman" w:hAnsi="Times New Roman" w:cs="Times New Roman"/>
          <w:bCs/>
          <w:smallCaps w:val="0"/>
          <w:sz w:val="28"/>
          <w:szCs w:val="28"/>
        </w:rPr>
        <w:t>《</w:t>
      </w:r>
      <w:r>
        <w:rPr>
          <w:rFonts w:hint="default" w:ascii="Times New Roman" w:hAnsi="Times New Roman" w:cs="Times New Roman"/>
          <w:bCs/>
          <w:smallCaps w:val="0"/>
          <w:sz w:val="28"/>
          <w:szCs w:val="28"/>
        </w:rPr>
        <w:t>硫化氢环境人身防护规范</w:t>
      </w:r>
      <w:r>
        <w:rPr>
          <w:rFonts w:ascii="Times New Roman" w:hAnsi="Times New Roman" w:cs="Times New Roman"/>
          <w:bCs/>
          <w:smallCaps w:val="0"/>
          <w:sz w:val="28"/>
          <w:szCs w:val="28"/>
        </w:rPr>
        <w:t>》</w:t>
      </w:r>
      <w:r>
        <w:rPr>
          <w:rFonts w:hint="eastAsia" w:ascii="Times New Roman" w:hAnsi="Times New Roman" w:cs="Times New Roman"/>
          <w:bCs/>
          <w:smallCaps w:val="0"/>
          <w:sz w:val="28"/>
          <w:szCs w:val="28"/>
          <w:lang w:eastAsia="zh-CN"/>
        </w:rPr>
        <w:t>（</w:t>
      </w:r>
      <w:r>
        <w:rPr>
          <w:rFonts w:ascii="Times New Roman" w:hAnsi="Times New Roman" w:cs="Times New Roman"/>
          <w:bCs/>
          <w:smallCaps w:val="0"/>
          <w:sz w:val="28"/>
          <w:szCs w:val="28"/>
        </w:rPr>
        <w:t>SY/T 6277-2017</w:t>
      </w:r>
      <w:r>
        <w:rPr>
          <w:rFonts w:hint="eastAsia" w:ascii="Times New Roman" w:hAnsi="Times New Roman" w:cs="Times New Roman"/>
          <w:bCs/>
          <w:smallCaps w:val="0"/>
          <w:sz w:val="28"/>
          <w:szCs w:val="28"/>
          <w:lang w:eastAsia="zh-CN"/>
        </w:rPr>
        <w:t>）</w:t>
      </w:r>
      <w:r>
        <w:rPr>
          <w:rFonts w:hint="eastAsia" w:cs="Times New Roman"/>
          <w:smallCaps w:val="0"/>
          <w:color w:val="auto"/>
          <w:sz w:val="28"/>
          <w:lang w:val="en-US" w:eastAsia="zh-CN"/>
        </w:rPr>
        <w:t>的配备要求。其</w:t>
      </w:r>
      <w:r>
        <w:rPr>
          <w:rFonts w:ascii="Times New Roman" w:hAnsi="Times New Roman" w:cs="Times New Roman"/>
          <w:smallCaps w:val="0"/>
          <w:color w:val="auto"/>
          <w:sz w:val="28"/>
        </w:rPr>
        <w:t>检测报告</w:t>
      </w:r>
      <w:r>
        <w:rPr>
          <w:rFonts w:hint="eastAsia" w:cs="Times New Roman"/>
          <w:smallCaps w:val="0"/>
          <w:color w:val="auto"/>
          <w:sz w:val="28"/>
          <w:lang w:val="en-US" w:eastAsia="zh-CN"/>
        </w:rPr>
        <w:t>详见报告附件16。</w:t>
      </w:r>
    </w:p>
    <w:p>
      <w:pPr>
        <w:adjustRightInd w:val="0"/>
        <w:snapToGrid w:val="0"/>
        <w:spacing w:line="360" w:lineRule="auto"/>
        <w:jc w:val="center"/>
        <w:rPr>
          <w:rFonts w:hint="default" w:eastAsiaTheme="minorEastAsia"/>
          <w:sz w:val="24"/>
          <w:szCs w:val="22"/>
          <w:lang w:val="en-US" w:eastAsia="zh-CN"/>
        </w:rPr>
      </w:pPr>
      <w:r>
        <w:rPr>
          <w:rFonts w:hint="eastAsia" w:eastAsiaTheme="minorEastAsia"/>
          <w:b/>
          <w:bCs/>
          <w:sz w:val="24"/>
          <w:szCs w:val="22"/>
        </w:rPr>
        <w:t>表</w:t>
      </w:r>
      <w:r>
        <w:rPr>
          <w:rFonts w:eastAsiaTheme="minorEastAsia"/>
          <w:b/>
          <w:bCs/>
          <w:sz w:val="24"/>
          <w:szCs w:val="22"/>
        </w:rPr>
        <w:t>2</w:t>
      </w:r>
      <w:r>
        <w:rPr>
          <w:rFonts w:hint="eastAsia" w:eastAsiaTheme="minorEastAsia"/>
          <w:b/>
          <w:bCs/>
          <w:sz w:val="24"/>
          <w:szCs w:val="22"/>
          <w:lang w:val="en-US" w:eastAsia="zh-CN"/>
        </w:rPr>
        <w:t>.10</w:t>
      </w:r>
      <w:r>
        <w:rPr>
          <w:rFonts w:eastAsiaTheme="minorEastAsia"/>
          <w:b/>
          <w:bCs/>
          <w:sz w:val="24"/>
          <w:szCs w:val="22"/>
        </w:rPr>
        <w:t>-</w:t>
      </w:r>
      <w:r>
        <w:rPr>
          <w:rFonts w:hint="eastAsia" w:eastAsiaTheme="minorEastAsia"/>
          <w:b/>
          <w:bCs/>
          <w:sz w:val="24"/>
          <w:szCs w:val="22"/>
          <w:lang w:val="en-US" w:eastAsia="zh-CN"/>
        </w:rPr>
        <w:t>7气瓶、正压式空气呼吸器以及气体检测报警器检验情况一览表</w:t>
      </w:r>
    </w:p>
    <w:tbl>
      <w:tblPr>
        <w:tblStyle w:val="5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322"/>
        <w:gridCol w:w="1138"/>
        <w:gridCol w:w="1726"/>
        <w:gridCol w:w="1187"/>
        <w:gridCol w:w="1200"/>
        <w:gridCol w:w="1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b/>
                <w:color w:val="auto"/>
                <w:kern w:val="0"/>
                <w:szCs w:val="21"/>
              </w:rPr>
            </w:pPr>
            <w:r>
              <w:rPr>
                <w:rFonts w:hint="eastAsia"/>
                <w:b/>
                <w:color w:val="auto"/>
                <w:kern w:val="0"/>
                <w:szCs w:val="21"/>
              </w:rPr>
              <w:t>序号</w:t>
            </w: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b/>
                <w:color w:val="auto"/>
                <w:kern w:val="0"/>
                <w:szCs w:val="21"/>
              </w:rPr>
            </w:pPr>
            <w:r>
              <w:rPr>
                <w:rFonts w:hint="eastAsia"/>
                <w:b/>
                <w:color w:val="auto"/>
                <w:kern w:val="0"/>
                <w:szCs w:val="21"/>
              </w:rPr>
              <w:t>名称</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b/>
                <w:color w:val="auto"/>
                <w:kern w:val="0"/>
                <w:szCs w:val="21"/>
              </w:rPr>
            </w:pPr>
            <w:r>
              <w:rPr>
                <w:rFonts w:hint="eastAsia"/>
                <w:b/>
                <w:color w:val="auto"/>
                <w:kern w:val="0"/>
                <w:szCs w:val="21"/>
              </w:rPr>
              <w:t>规格型号</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b/>
                <w:color w:val="auto"/>
                <w:kern w:val="0"/>
                <w:szCs w:val="21"/>
              </w:rPr>
            </w:pPr>
            <w:r>
              <w:rPr>
                <w:rFonts w:hint="eastAsia"/>
                <w:b/>
                <w:color w:val="auto"/>
                <w:kern w:val="0"/>
                <w:szCs w:val="21"/>
              </w:rPr>
              <w:t>报告编号</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b/>
                <w:color w:val="auto"/>
                <w:kern w:val="0"/>
                <w:szCs w:val="21"/>
              </w:rPr>
            </w:pPr>
            <w:r>
              <w:rPr>
                <w:rFonts w:hint="eastAsia"/>
                <w:b/>
                <w:color w:val="auto"/>
                <w:kern w:val="0"/>
                <w:szCs w:val="21"/>
              </w:rPr>
              <w:t>检测日期</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b/>
                <w:color w:val="auto"/>
                <w:kern w:val="0"/>
                <w:szCs w:val="21"/>
              </w:rPr>
            </w:pPr>
            <w:r>
              <w:rPr>
                <w:rFonts w:hint="eastAsia"/>
                <w:b/>
                <w:color w:val="auto"/>
                <w:kern w:val="0"/>
                <w:szCs w:val="21"/>
              </w:rPr>
              <w:t>有效期</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b/>
                <w:color w:val="auto"/>
                <w:kern w:val="0"/>
                <w:szCs w:val="21"/>
              </w:rPr>
            </w:pPr>
            <w:r>
              <w:rPr>
                <w:rFonts w:hint="eastAsia"/>
                <w:b/>
                <w:color w:val="auto"/>
                <w:kern w:val="0"/>
                <w:szCs w:val="21"/>
              </w:rPr>
              <w:t>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2021-411/1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2021-412/1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2021-413/1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2021-414/1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2021-416/1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2021-415/1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2021-418/1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2021-417/1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2022-094/1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2022-095/1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2022-093/1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2022-096/1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2022-092/1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2022-076/1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2022/2/10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2023/2/9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2022-095/2</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2022/3/11</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2023/3/10</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2022-095/4</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2022-105/1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CHM/QP202203162</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2022/3/13</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2025/3/12</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CHM/QP202103031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2021/3/18</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2023/6/17</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CHM/QP202203161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2022/3/13</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2023/3/12</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西南项目部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2021XJZC字第QP05287号</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2021/10/15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2024/10/14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西南项目部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2022/065/1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2022/2/10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2023/2/9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长庆项目部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复合气瓶</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6.8L</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2022/064/1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2022/2/10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2023/2/9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长庆项目部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RHZKF/6.8/30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2021-411/1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RHZKF/6.8/30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2021-412/1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RHZKF/6.8/30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2021-413/1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RHZKF/6.8/30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2021-414/1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RHZKF/6.8/30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2021-416/1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RHZKF/6.8/30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2021-415/1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RHZKF/6.8/30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2021-418/1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RHZKF/6.8/30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2021-417/1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155/6.8/30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2022-094/1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FQC/6.8/30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2022-095/1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155/6.8/30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2022-093/1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155/6.8/30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2022-096/1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155/6.8/30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2022-092/1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155/6.8/30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2022-076/1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2022/2/10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2023/2/9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155/6.8/30/B</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2022-095/2</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2022/3/11</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2023/3/10</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155/6.8/30/B</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2022-095/4</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155/6.8/30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2022-105/1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RHZKF</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CHM/KH202203023</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2022/3/14</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2023/3/13</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RHZKF</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CHM/KH202203020</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2022/3/14</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2023/3/13</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RHZKF</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CHM/A-057</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2022/3/21</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2023/3/20</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西南项目部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Q-F-20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检查字第202110130008号</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2021/10/15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2022/10/14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西南项目部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155/6.8/30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2022/065/1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2022/2/10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2023/2/9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长庆项目部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空气呼吸器</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FQC157/6.8/30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2022/064/1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2022/2/10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2023/2/9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长庆项目部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LHHB-T20220484</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2022/3/6</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2023/3/5</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冀东项目部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LHHB-T20220485</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2022/3/6</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2023/3/5</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冀东项目部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LHHB-T20220486</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2022/3/6</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2023/3/5</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青海项目部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DY21082507</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DY21082505</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DY21082506</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DY21082501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DY21082502</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DY21082504</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DY21082503</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2021/8/25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2022/8/24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大庆项目部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DY22021002</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2022/2/10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2023/2/9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长庆项目部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DY22021001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2022/2/10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2023/2/9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长庆项目部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LHHB-T20212723</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2021/10/27</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2022/10/26</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西南项目部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LHHB-T20212725</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2021/10/27</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2022/10/26</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西南项目部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LHHB-T20213065</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2021/12/15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2022/12/14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LSBH-T20210657</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2021/10/18</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2022/10/17</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LHHB-T20213066</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2021/12/15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2022/12/14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LHHB-T20213064</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2021/12/15</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2022/12/14</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DY22031001</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R40</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DY22031002</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DY22031003</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DY22031004</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DY22031005</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DY22031006</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 w:type="pct"/>
            <w:noWrap w:val="0"/>
            <w:vAlign w:val="center"/>
          </w:tcPr>
          <w:p>
            <w:pPr>
              <w:keepNext w:val="0"/>
              <w:keepLines w:val="0"/>
              <w:pageBreakBefore w:val="0"/>
              <w:widowControl/>
              <w:numPr>
                <w:ilvl w:val="0"/>
                <w:numId w:val="16"/>
              </w:numPr>
              <w:suppressLineNumbers w:val="0"/>
              <w:kinsoku/>
              <w:wordWrap/>
              <w:overflowPunct/>
              <w:topLinePunct w:val="0"/>
              <w:autoSpaceDE/>
              <w:autoSpaceDN/>
              <w:bidi w:val="0"/>
              <w:adjustRightInd/>
              <w:snapToGrid/>
              <w:spacing w:before="32" w:beforeLines="10" w:beforeAutospacing="0" w:after="32" w:afterLines="10" w:afterAutospacing="0"/>
              <w:ind w:right="0"/>
              <w:jc w:val="center"/>
              <w:textAlignment w:val="auto"/>
              <w:rPr>
                <w:rFonts w:hint="default"/>
                <w:bCs/>
                <w:color w:val="auto"/>
                <w:kern w:val="0"/>
                <w:szCs w:val="21"/>
              </w:rPr>
            </w:pPr>
          </w:p>
        </w:tc>
        <w:tc>
          <w:tcPr>
            <w:tcW w:w="7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四合一气体报警仪</w:t>
            </w:r>
          </w:p>
        </w:tc>
        <w:tc>
          <w:tcPr>
            <w:tcW w:w="66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RBBJ-T</w:t>
            </w:r>
          </w:p>
        </w:tc>
        <w:tc>
          <w:tcPr>
            <w:tcW w:w="101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default"/>
                <w:color w:val="auto"/>
                <w:kern w:val="0"/>
                <w:szCs w:val="21"/>
                <w:lang w:val="en-US" w:eastAsia="zh-CN"/>
              </w:rPr>
            </w:pPr>
            <w:r>
              <w:rPr>
                <w:rFonts w:hint="eastAsia"/>
                <w:color w:val="auto"/>
                <w:kern w:val="0"/>
                <w:szCs w:val="21"/>
                <w:lang w:val="en-US" w:eastAsia="zh-CN"/>
              </w:rPr>
              <w:t>DY22031007</w:t>
            </w:r>
          </w:p>
        </w:tc>
        <w:tc>
          <w:tcPr>
            <w:tcW w:w="696"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2022/3/10</w:t>
            </w:r>
          </w:p>
        </w:tc>
        <w:tc>
          <w:tcPr>
            <w:tcW w:w="7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2023/3/9</w:t>
            </w:r>
          </w:p>
        </w:tc>
        <w:tc>
          <w:tcPr>
            <w:tcW w:w="89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32" w:beforeLines="10" w:beforeAutospacing="0" w:after="32" w:afterLines="10" w:afterAutospacing="0"/>
              <w:ind w:left="0" w:right="0"/>
              <w:jc w:val="center"/>
              <w:textAlignment w:val="auto"/>
              <w:rPr>
                <w:rFonts w:hint="eastAsia"/>
                <w:color w:val="auto"/>
                <w:kern w:val="0"/>
                <w:szCs w:val="21"/>
                <w:lang w:val="en-US" w:eastAsia="zh-CN"/>
              </w:rPr>
            </w:pPr>
            <w:r>
              <w:rPr>
                <w:rFonts w:hint="eastAsia"/>
                <w:color w:val="auto"/>
                <w:kern w:val="0"/>
                <w:szCs w:val="21"/>
                <w:lang w:val="en-US" w:eastAsia="zh-CN"/>
              </w:rPr>
              <w:t>西北局项目部</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b/>
          <w:bCs/>
          <w:sz w:val="21"/>
          <w:szCs w:val="21"/>
          <w:lang w:val="en-US" w:eastAsia="zh-CN"/>
        </w:rPr>
      </w:pPr>
      <w:r>
        <w:rPr>
          <w:rFonts w:hint="eastAsia"/>
          <w:b/>
          <w:bCs/>
          <w:sz w:val="21"/>
          <w:szCs w:val="21"/>
          <w:lang w:val="en-US" w:eastAsia="zh-CN"/>
        </w:rPr>
        <w:t>注：冀东项目部、青海项目部、吐哈项目部目前停工停产，冀东项目部所涉及的2台正压式空气呼吸器、气瓶，青海项目部所涉及的2台正压式空气呼吸器、气瓶以及1台四合一气体报警仪检测报告已过期，建议冀东项目部、青海项目部、吐哈项目部在开工前配备足够数量的正压式空气呼吸器、气瓶以及气体检测报警器，且在检测合格后方能开工。</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eastAsia="宋体"/>
          <w:b w:val="0"/>
          <w:bCs w:val="0"/>
          <w:sz w:val="28"/>
          <w:szCs w:val="28"/>
          <w:lang w:val="en-US" w:eastAsia="zh-CN"/>
        </w:rPr>
      </w:pPr>
      <w:r>
        <w:rPr>
          <w:rFonts w:hint="eastAsia"/>
          <w:b w:val="0"/>
          <w:bCs w:val="0"/>
          <w:sz w:val="28"/>
          <w:szCs w:val="28"/>
          <w:lang w:val="en-US" w:eastAsia="zh-CN"/>
        </w:rPr>
        <w:t>该公司目前处于开工状态的项目部所涉及的正压式空气呼吸器、硫化氢气体检测报警器等设施已经检测合格，且在有效期之内。</w:t>
      </w:r>
    </w:p>
    <w:p>
      <w:pPr>
        <w:pStyle w:val="4"/>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ascii="Times New Roman" w:hAnsi="Times New Roman"/>
          <w:b w:val="0"/>
          <w:bCs/>
          <w:szCs w:val="32"/>
        </w:rPr>
      </w:pPr>
      <w:bookmarkStart w:id="36" w:name="_Toc21626"/>
      <w:r>
        <w:rPr>
          <w:rFonts w:hint="eastAsia" w:ascii="Times New Roman" w:hAnsi="Times New Roman"/>
          <w:b w:val="0"/>
          <w:bCs/>
          <w:szCs w:val="32"/>
        </w:rPr>
        <w:t>2.</w:t>
      </w:r>
      <w:r>
        <w:rPr>
          <w:rFonts w:ascii="Times New Roman" w:hAnsi="Times New Roman"/>
          <w:b w:val="0"/>
          <w:bCs/>
          <w:szCs w:val="32"/>
        </w:rPr>
        <w:t>1</w:t>
      </w:r>
      <w:r>
        <w:rPr>
          <w:rFonts w:hint="eastAsia" w:ascii="Times New Roman" w:hAnsi="Times New Roman"/>
          <w:b w:val="0"/>
          <w:bCs/>
          <w:szCs w:val="32"/>
          <w:lang w:val="en-US" w:eastAsia="zh-CN"/>
        </w:rPr>
        <w:t>1</w:t>
      </w:r>
      <w:r>
        <w:rPr>
          <w:rFonts w:ascii="Times New Roman" w:hAnsi="Times New Roman"/>
          <w:b w:val="0"/>
          <w:bCs/>
          <w:szCs w:val="32"/>
        </w:rPr>
        <w:t xml:space="preserve"> </w:t>
      </w:r>
      <w:r>
        <w:rPr>
          <w:rFonts w:hint="eastAsia" w:ascii="Times New Roman" w:hAnsi="Times New Roman"/>
          <w:b w:val="0"/>
          <w:bCs/>
          <w:szCs w:val="32"/>
        </w:rPr>
        <w:t>事故应急救援预案及演练</w:t>
      </w:r>
      <w:bookmarkEnd w:id="36"/>
    </w:p>
    <w:p>
      <w:pPr>
        <w:pStyle w:val="6"/>
        <w:adjustRightInd w:val="0"/>
        <w:snapToGrid w:val="0"/>
        <w:spacing w:before="0" w:after="0" w:line="360" w:lineRule="auto"/>
        <w:rPr>
          <w:rFonts w:eastAsia="黑体"/>
          <w:b w:val="0"/>
          <w:snapToGrid w:val="0"/>
          <w:kern w:val="0"/>
          <w:sz w:val="28"/>
          <w:szCs w:val="28"/>
        </w:rPr>
      </w:pPr>
      <w:r>
        <w:rPr>
          <w:rFonts w:eastAsia="黑体"/>
          <w:b w:val="0"/>
          <w:snapToGrid w:val="0"/>
          <w:kern w:val="0"/>
          <w:sz w:val="28"/>
          <w:szCs w:val="28"/>
        </w:rPr>
        <w:t>2.1</w:t>
      </w:r>
      <w:r>
        <w:rPr>
          <w:rFonts w:hint="eastAsia" w:eastAsia="黑体"/>
          <w:b w:val="0"/>
          <w:snapToGrid w:val="0"/>
          <w:kern w:val="0"/>
          <w:sz w:val="28"/>
          <w:szCs w:val="28"/>
          <w:lang w:val="en-US" w:eastAsia="zh-CN"/>
        </w:rPr>
        <w:t>1</w:t>
      </w:r>
      <w:r>
        <w:rPr>
          <w:rFonts w:eastAsia="黑体"/>
          <w:b w:val="0"/>
          <w:snapToGrid w:val="0"/>
          <w:kern w:val="0"/>
          <w:sz w:val="28"/>
          <w:szCs w:val="28"/>
        </w:rPr>
        <w:t xml:space="preserve">.1 </w:t>
      </w:r>
      <w:r>
        <w:rPr>
          <w:rFonts w:hint="eastAsia" w:eastAsia="黑体"/>
          <w:b w:val="0"/>
          <w:snapToGrid w:val="0"/>
          <w:kern w:val="0"/>
          <w:sz w:val="28"/>
          <w:szCs w:val="28"/>
        </w:rPr>
        <w:t>事故应急救援预案的编制情况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z w:val="28"/>
        </w:rPr>
      </w:pPr>
      <w:r>
        <w:rPr>
          <w:rFonts w:hint="eastAsia"/>
          <w:sz w:val="28"/>
          <w:szCs w:val="28"/>
        </w:rPr>
        <w:t>为最大程度的预防和控制各类重大安全事故的发生，最大限度的减少各类事故所造成的危害、损失以及社会影响和环境影响，</w:t>
      </w:r>
      <w:r>
        <w:rPr>
          <w:rFonts w:hint="eastAsia"/>
          <w:sz w:val="28"/>
          <w:szCs w:val="28"/>
          <w:lang w:eastAsia="zh-CN"/>
        </w:rPr>
        <w:t>斯伦贝谢油田技术（山东）有限公司</w:t>
      </w:r>
      <w:r>
        <w:rPr>
          <w:rFonts w:hint="eastAsia"/>
          <w:sz w:val="28"/>
          <w:szCs w:val="28"/>
        </w:rPr>
        <w:t>编制了《</w:t>
      </w:r>
      <w:r>
        <w:rPr>
          <w:rFonts w:hint="eastAsia"/>
          <w:sz w:val="28"/>
          <w:szCs w:val="28"/>
          <w:lang w:eastAsia="zh-CN"/>
        </w:rPr>
        <w:t>斯伦贝谢油田技术（山东）有限公司</w:t>
      </w:r>
      <w:r>
        <w:rPr>
          <w:rFonts w:hint="eastAsia"/>
          <w:sz w:val="28"/>
          <w:szCs w:val="28"/>
        </w:rPr>
        <w:t>生产安全事故应急预案》，</w:t>
      </w:r>
      <w:r>
        <w:rPr>
          <w:rFonts w:hint="eastAsia"/>
          <w:sz w:val="28"/>
          <w:szCs w:val="28"/>
          <w:lang w:val="en-US" w:eastAsia="zh-CN"/>
        </w:rPr>
        <w:t>该</w:t>
      </w:r>
      <w:r>
        <w:rPr>
          <w:rFonts w:hint="eastAsia"/>
          <w:sz w:val="28"/>
          <w:szCs w:val="28"/>
        </w:rPr>
        <w:t>公司应急预案已于</w:t>
      </w:r>
      <w:r>
        <w:rPr>
          <w:sz w:val="28"/>
          <w:szCs w:val="28"/>
        </w:rPr>
        <w:t>20</w:t>
      </w:r>
      <w:r>
        <w:rPr>
          <w:rFonts w:hint="eastAsia"/>
          <w:sz w:val="28"/>
          <w:szCs w:val="28"/>
          <w:lang w:val="en-US" w:eastAsia="zh-CN"/>
        </w:rPr>
        <w:t>22</w:t>
      </w:r>
      <w:r>
        <w:rPr>
          <w:rFonts w:hint="eastAsia"/>
          <w:sz w:val="28"/>
          <w:szCs w:val="28"/>
        </w:rPr>
        <w:t>年1月1</w:t>
      </w:r>
      <w:r>
        <w:rPr>
          <w:rFonts w:hint="eastAsia"/>
          <w:sz w:val="28"/>
          <w:szCs w:val="28"/>
          <w:lang w:val="en-US" w:eastAsia="zh-CN"/>
        </w:rPr>
        <w:t>8</w:t>
      </w:r>
      <w:r>
        <w:rPr>
          <w:rFonts w:hint="eastAsia"/>
          <w:sz w:val="28"/>
          <w:szCs w:val="28"/>
        </w:rPr>
        <w:t>日在</w:t>
      </w:r>
      <w:r>
        <w:rPr>
          <w:rFonts w:hint="eastAsia"/>
          <w:sz w:val="28"/>
          <w:szCs w:val="28"/>
          <w:lang w:val="en-US" w:eastAsia="zh-CN"/>
        </w:rPr>
        <w:t>东营经济技术开发区应急管理部</w:t>
      </w:r>
      <w:r>
        <w:rPr>
          <w:rFonts w:hint="eastAsia"/>
          <w:sz w:val="28"/>
          <w:szCs w:val="28"/>
        </w:rPr>
        <w:t>备案（备案编号</w:t>
      </w:r>
      <w:r>
        <w:rPr>
          <w:rFonts w:hint="eastAsia"/>
          <w:sz w:val="28"/>
          <w:szCs w:val="28"/>
          <w:lang w:eastAsia="zh-CN"/>
        </w:rPr>
        <w:t>：</w:t>
      </w:r>
      <w:r>
        <w:rPr>
          <w:rFonts w:hint="eastAsia"/>
          <w:sz w:val="28"/>
          <w:szCs w:val="28"/>
        </w:rPr>
        <w:t>37050</w:t>
      </w:r>
      <w:r>
        <w:rPr>
          <w:rFonts w:hint="eastAsia"/>
          <w:sz w:val="28"/>
          <w:szCs w:val="28"/>
          <w:lang w:val="en-US" w:eastAsia="zh-CN"/>
        </w:rPr>
        <w:t>4</w:t>
      </w:r>
      <w:r>
        <w:rPr>
          <w:rFonts w:hint="eastAsia"/>
          <w:sz w:val="28"/>
          <w:szCs w:val="28"/>
        </w:rPr>
        <w:t>-20</w:t>
      </w:r>
      <w:r>
        <w:rPr>
          <w:rFonts w:hint="eastAsia"/>
          <w:sz w:val="28"/>
          <w:szCs w:val="28"/>
          <w:lang w:val="en-US" w:eastAsia="zh-CN"/>
        </w:rPr>
        <w:t>22</w:t>
      </w:r>
      <w:r>
        <w:rPr>
          <w:rFonts w:hint="eastAsia"/>
          <w:sz w:val="28"/>
          <w:szCs w:val="28"/>
        </w:rPr>
        <w:t>-</w:t>
      </w:r>
      <w:r>
        <w:rPr>
          <w:sz w:val="28"/>
          <w:szCs w:val="28"/>
        </w:rPr>
        <w:t>00</w:t>
      </w:r>
      <w:r>
        <w:rPr>
          <w:rFonts w:hint="eastAsia"/>
          <w:sz w:val="28"/>
          <w:szCs w:val="28"/>
          <w:lang w:val="en-US" w:eastAsia="zh-CN"/>
        </w:rPr>
        <w:t>08</w:t>
      </w:r>
      <w:r>
        <w:rPr>
          <w:rFonts w:hint="eastAsia"/>
          <w:sz w:val="28"/>
          <w:szCs w:val="28"/>
        </w:rPr>
        <w:t>）</w:t>
      </w:r>
      <w:r>
        <w:rPr>
          <w:rFonts w:hint="eastAsia"/>
          <w:sz w:val="28"/>
        </w:rPr>
        <w:t>。该应急预案包括综合应急预案、专项应急预案、现场处置方案，专项应急预案包括</w:t>
      </w:r>
      <w:r>
        <w:rPr>
          <w:rFonts w:hint="eastAsia"/>
          <w:sz w:val="28"/>
          <w:lang w:eastAsia="zh-CN"/>
        </w:rPr>
        <w:t>：</w:t>
      </w:r>
      <w:r>
        <w:rPr>
          <w:rFonts w:hint="eastAsia"/>
          <w:sz w:val="28"/>
          <w:lang w:val="en-US" w:eastAsia="zh-CN"/>
        </w:rPr>
        <w:t>火灾事故</w:t>
      </w:r>
      <w:r>
        <w:rPr>
          <w:rFonts w:hint="eastAsia"/>
          <w:sz w:val="28"/>
        </w:rPr>
        <w:t>专项应急预案、</w:t>
      </w:r>
      <w:r>
        <w:rPr>
          <w:rFonts w:hint="eastAsia"/>
          <w:sz w:val="28"/>
          <w:lang w:val="en-US" w:eastAsia="zh-CN"/>
        </w:rPr>
        <w:t>特种设备事故</w:t>
      </w:r>
      <w:r>
        <w:rPr>
          <w:rFonts w:hint="eastAsia"/>
          <w:sz w:val="28"/>
        </w:rPr>
        <w:t>专项预案、</w:t>
      </w:r>
      <w:r>
        <w:rPr>
          <w:rFonts w:hint="eastAsia"/>
          <w:sz w:val="28"/>
          <w:lang w:val="en-US" w:eastAsia="zh-CN"/>
        </w:rPr>
        <w:t>硫化氢泄漏</w:t>
      </w:r>
      <w:r>
        <w:rPr>
          <w:rFonts w:hint="eastAsia"/>
          <w:sz w:val="28"/>
        </w:rPr>
        <w:t>事故专项预案；现场处置方案包括</w:t>
      </w:r>
      <w:r>
        <w:rPr>
          <w:rFonts w:hint="eastAsia"/>
          <w:sz w:val="28"/>
          <w:lang w:eastAsia="zh-CN"/>
        </w:rPr>
        <w:t>：</w:t>
      </w:r>
      <w:r>
        <w:rPr>
          <w:rFonts w:hint="eastAsia"/>
          <w:sz w:val="28"/>
          <w:lang w:val="en-US" w:eastAsia="zh-CN"/>
        </w:rPr>
        <w:t>车辆</w:t>
      </w:r>
      <w:r>
        <w:rPr>
          <w:rFonts w:hint="eastAsia"/>
          <w:sz w:val="28"/>
        </w:rPr>
        <w:t>伤害事故现场处置方案、</w:t>
      </w:r>
      <w:r>
        <w:rPr>
          <w:rFonts w:hint="eastAsia"/>
          <w:sz w:val="28"/>
          <w:lang w:val="en-US" w:eastAsia="zh-CN"/>
        </w:rPr>
        <w:t>起重伤害</w:t>
      </w:r>
      <w:r>
        <w:rPr>
          <w:rFonts w:hint="eastAsia"/>
          <w:sz w:val="28"/>
        </w:rPr>
        <w:t>事故现场处置方案、</w:t>
      </w:r>
      <w:r>
        <w:rPr>
          <w:rFonts w:hint="eastAsia"/>
          <w:sz w:val="28"/>
          <w:lang w:val="en-US" w:eastAsia="zh-CN"/>
        </w:rPr>
        <w:t>中毒窒息</w:t>
      </w:r>
      <w:r>
        <w:rPr>
          <w:rFonts w:hint="eastAsia"/>
          <w:sz w:val="28"/>
        </w:rPr>
        <w:t>现场处置方案、</w:t>
      </w:r>
      <w:r>
        <w:rPr>
          <w:rFonts w:hint="eastAsia"/>
          <w:sz w:val="28"/>
          <w:lang w:val="en-US" w:eastAsia="zh-CN"/>
        </w:rPr>
        <w:t>井喷</w:t>
      </w:r>
      <w:r>
        <w:rPr>
          <w:rFonts w:hint="eastAsia"/>
          <w:sz w:val="28"/>
        </w:rPr>
        <w:t>现场处置方案。</w:t>
      </w:r>
    </w:p>
    <w:p>
      <w:pPr>
        <w:pStyle w:val="6"/>
        <w:adjustRightInd w:val="0"/>
        <w:snapToGrid w:val="0"/>
        <w:spacing w:before="0" w:after="0" w:line="360" w:lineRule="auto"/>
        <w:rPr>
          <w:rFonts w:eastAsia="黑体"/>
          <w:b w:val="0"/>
          <w:snapToGrid w:val="0"/>
          <w:kern w:val="0"/>
          <w:sz w:val="28"/>
          <w:szCs w:val="28"/>
        </w:rPr>
      </w:pPr>
      <w:r>
        <w:rPr>
          <w:rFonts w:eastAsia="黑体"/>
          <w:b w:val="0"/>
          <w:snapToGrid w:val="0"/>
          <w:kern w:val="0"/>
          <w:sz w:val="28"/>
          <w:szCs w:val="28"/>
        </w:rPr>
        <w:t>2.1</w:t>
      </w:r>
      <w:r>
        <w:rPr>
          <w:rFonts w:hint="eastAsia" w:eastAsia="黑体"/>
          <w:b w:val="0"/>
          <w:snapToGrid w:val="0"/>
          <w:kern w:val="0"/>
          <w:sz w:val="28"/>
          <w:szCs w:val="28"/>
          <w:lang w:val="en-US" w:eastAsia="zh-CN"/>
        </w:rPr>
        <w:t>1</w:t>
      </w:r>
      <w:r>
        <w:rPr>
          <w:rFonts w:eastAsia="黑体"/>
          <w:b w:val="0"/>
          <w:snapToGrid w:val="0"/>
          <w:kern w:val="0"/>
          <w:sz w:val="28"/>
          <w:szCs w:val="28"/>
        </w:rPr>
        <w:t xml:space="preserve">.2 </w:t>
      </w:r>
      <w:r>
        <w:rPr>
          <w:rFonts w:hint="eastAsia" w:eastAsia="黑体"/>
          <w:b w:val="0"/>
          <w:snapToGrid w:val="0"/>
          <w:kern w:val="0"/>
          <w:sz w:val="28"/>
          <w:szCs w:val="28"/>
        </w:rPr>
        <w:t>事故应急救援组织的建立和人员的配备情况</w:t>
      </w:r>
    </w:p>
    <w:p>
      <w:pPr>
        <w:adjustRightInd w:val="0"/>
        <w:snapToGrid w:val="0"/>
        <w:spacing w:line="360" w:lineRule="auto"/>
        <w:ind w:firstLine="560" w:firstLineChars="200"/>
        <w:rPr>
          <w:sz w:val="28"/>
          <w:szCs w:val="28"/>
        </w:rPr>
      </w:pPr>
      <w:r>
        <w:rPr>
          <w:rFonts w:hint="eastAsia"/>
          <w:sz w:val="28"/>
          <w:szCs w:val="28"/>
          <w:lang w:eastAsia="zh-CN"/>
        </w:rPr>
        <w:t>斯伦贝谢油田技术（山东）有限公司</w:t>
      </w:r>
      <w:r>
        <w:rPr>
          <w:rFonts w:hint="eastAsia"/>
          <w:sz w:val="28"/>
          <w:szCs w:val="28"/>
        </w:rPr>
        <w:t>成立了由总经理</w:t>
      </w:r>
      <w:r>
        <w:rPr>
          <w:rFonts w:hint="eastAsia"/>
          <w:sz w:val="28"/>
          <w:szCs w:val="28"/>
          <w:lang w:val="en-US" w:eastAsia="zh-CN"/>
        </w:rPr>
        <w:t>何凤祥</w:t>
      </w:r>
      <w:r>
        <w:rPr>
          <w:rFonts w:hint="eastAsia"/>
          <w:sz w:val="28"/>
          <w:szCs w:val="28"/>
        </w:rPr>
        <w:t>任总</w:t>
      </w:r>
      <w:r>
        <w:rPr>
          <w:rFonts w:hint="eastAsia"/>
          <w:color w:val="auto"/>
          <w:sz w:val="28"/>
          <w:szCs w:val="28"/>
        </w:rPr>
        <w:t>指挥</w:t>
      </w:r>
      <w:r>
        <w:rPr>
          <w:rFonts w:hint="eastAsia"/>
          <w:color w:val="auto"/>
          <w:sz w:val="28"/>
          <w:szCs w:val="28"/>
          <w:lang w:eastAsia="zh-CN"/>
        </w:rPr>
        <w:t>，</w:t>
      </w:r>
      <w:r>
        <w:rPr>
          <w:rFonts w:hint="eastAsia"/>
          <w:sz w:val="28"/>
          <w:szCs w:val="28"/>
          <w:lang w:val="en-US" w:eastAsia="zh-CN"/>
        </w:rPr>
        <w:t>耿淦为副总指挥</w:t>
      </w:r>
      <w:r>
        <w:rPr>
          <w:rFonts w:hint="eastAsia"/>
          <w:sz w:val="28"/>
          <w:szCs w:val="28"/>
        </w:rPr>
        <w:t>的应急</w:t>
      </w:r>
      <w:r>
        <w:rPr>
          <w:rFonts w:hint="eastAsia"/>
          <w:sz w:val="28"/>
          <w:szCs w:val="28"/>
          <w:lang w:val="en-US" w:eastAsia="zh-CN"/>
        </w:rPr>
        <w:t>救援组织</w:t>
      </w:r>
      <w:r>
        <w:rPr>
          <w:rFonts w:hint="eastAsia"/>
          <w:sz w:val="28"/>
          <w:szCs w:val="28"/>
        </w:rPr>
        <w:t>机构，</w:t>
      </w:r>
      <w:r>
        <w:rPr>
          <w:rFonts w:hint="eastAsia"/>
          <w:sz w:val="28"/>
          <w:szCs w:val="28"/>
          <w:lang w:val="en-US" w:eastAsia="zh-CN"/>
        </w:rPr>
        <w:t>指挥部办公室设在安全部</w:t>
      </w:r>
      <w:r>
        <w:rPr>
          <w:rFonts w:hint="eastAsia"/>
          <w:sz w:val="28"/>
          <w:szCs w:val="28"/>
        </w:rPr>
        <w:t>，</w:t>
      </w:r>
      <w:r>
        <w:rPr>
          <w:rFonts w:hint="eastAsia"/>
          <w:sz w:val="28"/>
          <w:szCs w:val="28"/>
          <w:lang w:val="en-US" w:eastAsia="zh-CN"/>
        </w:rPr>
        <w:t>成立应急救援小组，包括通讯联络组、治安保卫组、应急救援组、医疗救护组、物资保障组等，</w:t>
      </w:r>
      <w:r>
        <w:rPr>
          <w:rFonts w:ascii="Times New Roman" w:hAnsi="Times New Roman" w:cs="Times New Roman"/>
          <w:smallCaps w:val="0"/>
          <w:color w:val="auto"/>
          <w:sz w:val="28"/>
        </w:rPr>
        <w:t>确定了应急</w:t>
      </w:r>
      <w:r>
        <w:rPr>
          <w:rFonts w:hint="eastAsia" w:cs="Times New Roman"/>
          <w:smallCaps w:val="0"/>
          <w:color w:val="auto"/>
          <w:sz w:val="28"/>
          <w:lang w:val="en-US" w:eastAsia="zh-CN"/>
        </w:rPr>
        <w:t>救援小组</w:t>
      </w:r>
      <w:r>
        <w:rPr>
          <w:rFonts w:ascii="Times New Roman" w:hAnsi="Times New Roman" w:cs="Times New Roman"/>
          <w:smallCaps w:val="0"/>
          <w:color w:val="auto"/>
          <w:sz w:val="28"/>
        </w:rPr>
        <w:t>人员名单</w:t>
      </w:r>
      <w:r>
        <w:rPr>
          <w:rFonts w:hint="eastAsia" w:ascii="Times New Roman" w:hAnsi="Times New Roman" w:cs="Times New Roman"/>
          <w:smallCaps w:val="0"/>
          <w:color w:val="auto"/>
          <w:sz w:val="28"/>
          <w:lang w:eastAsia="zh-CN"/>
        </w:rPr>
        <w:t>，</w:t>
      </w:r>
      <w:r>
        <w:rPr>
          <w:rFonts w:hint="eastAsia" w:ascii="Times New Roman" w:hAnsi="Times New Roman" w:cs="Times New Roman"/>
          <w:smallCaps w:val="0"/>
          <w:color w:val="auto"/>
          <w:sz w:val="28"/>
          <w:lang w:val="en-US" w:eastAsia="zh-CN"/>
        </w:rPr>
        <w:t>并明确</w:t>
      </w:r>
      <w:r>
        <w:rPr>
          <w:rFonts w:hint="eastAsia" w:cs="Times New Roman"/>
          <w:smallCaps w:val="0"/>
          <w:color w:val="auto"/>
          <w:sz w:val="28"/>
          <w:lang w:val="en-US" w:eastAsia="zh-CN"/>
        </w:rPr>
        <w:t>了</w:t>
      </w:r>
      <w:r>
        <w:rPr>
          <w:rFonts w:hint="eastAsia" w:ascii="Times New Roman" w:hAnsi="Times New Roman" w:cs="Times New Roman"/>
          <w:smallCaps w:val="0"/>
          <w:color w:val="auto"/>
          <w:sz w:val="28"/>
          <w:lang w:val="en-US" w:eastAsia="zh-CN"/>
        </w:rPr>
        <w:t>应急</w:t>
      </w:r>
      <w:r>
        <w:rPr>
          <w:rFonts w:hint="eastAsia" w:cs="Times New Roman"/>
          <w:smallCaps w:val="0"/>
          <w:color w:val="auto"/>
          <w:sz w:val="28"/>
          <w:lang w:val="en-US" w:eastAsia="zh-CN"/>
        </w:rPr>
        <w:t>救援</w:t>
      </w:r>
      <w:r>
        <w:rPr>
          <w:rFonts w:hint="eastAsia" w:ascii="Times New Roman" w:hAnsi="Times New Roman" w:cs="Times New Roman"/>
          <w:smallCaps w:val="0"/>
          <w:color w:val="auto"/>
          <w:sz w:val="28"/>
          <w:lang w:val="en-US" w:eastAsia="zh-CN"/>
        </w:rPr>
        <w:t>组织机构职责</w:t>
      </w:r>
      <w:r>
        <w:rPr>
          <w:rFonts w:hint="eastAsia" w:cs="Times New Roman"/>
          <w:smallCaps w:val="0"/>
          <w:color w:val="auto"/>
          <w:sz w:val="28"/>
          <w:lang w:val="en-US" w:eastAsia="zh-CN"/>
        </w:rPr>
        <w:t>，应急救援组织机构详见报告附件13</w:t>
      </w:r>
      <w:r>
        <w:rPr>
          <w:rFonts w:hint="eastAsia"/>
          <w:sz w:val="28"/>
          <w:szCs w:val="28"/>
        </w:rPr>
        <w:t>。</w:t>
      </w:r>
    </w:p>
    <w:p>
      <w:pPr>
        <w:pStyle w:val="6"/>
        <w:adjustRightInd w:val="0"/>
        <w:snapToGrid w:val="0"/>
        <w:spacing w:before="0" w:after="0" w:line="360" w:lineRule="auto"/>
        <w:rPr>
          <w:rFonts w:eastAsia="黑体"/>
          <w:b w:val="0"/>
          <w:snapToGrid w:val="0"/>
          <w:kern w:val="0"/>
          <w:sz w:val="28"/>
          <w:szCs w:val="28"/>
        </w:rPr>
      </w:pPr>
      <w:r>
        <w:rPr>
          <w:rFonts w:eastAsia="黑体"/>
          <w:b w:val="0"/>
          <w:snapToGrid w:val="0"/>
          <w:kern w:val="0"/>
          <w:sz w:val="28"/>
          <w:szCs w:val="28"/>
        </w:rPr>
        <w:t>2.1</w:t>
      </w:r>
      <w:r>
        <w:rPr>
          <w:rFonts w:hint="eastAsia" w:eastAsia="黑体"/>
          <w:b w:val="0"/>
          <w:snapToGrid w:val="0"/>
          <w:kern w:val="0"/>
          <w:sz w:val="28"/>
          <w:szCs w:val="28"/>
          <w:lang w:val="en-US" w:eastAsia="zh-CN"/>
        </w:rPr>
        <w:t>1</w:t>
      </w:r>
      <w:r>
        <w:rPr>
          <w:rFonts w:eastAsia="黑体"/>
          <w:b w:val="0"/>
          <w:snapToGrid w:val="0"/>
          <w:kern w:val="0"/>
          <w:sz w:val="28"/>
          <w:szCs w:val="28"/>
        </w:rPr>
        <w:t xml:space="preserve">.3 </w:t>
      </w:r>
      <w:r>
        <w:rPr>
          <w:rFonts w:hint="eastAsia" w:eastAsia="黑体"/>
          <w:b w:val="0"/>
          <w:snapToGrid w:val="0"/>
          <w:kern w:val="0"/>
          <w:sz w:val="28"/>
          <w:szCs w:val="28"/>
        </w:rPr>
        <w:t>事故应急救援预案的演练情况</w:t>
      </w:r>
    </w:p>
    <w:p>
      <w:pPr>
        <w:adjustRightInd w:val="0"/>
        <w:snapToGrid w:val="0"/>
        <w:spacing w:line="360" w:lineRule="auto"/>
        <w:ind w:firstLine="560" w:firstLineChars="200"/>
        <w:rPr>
          <w:sz w:val="28"/>
          <w:szCs w:val="28"/>
        </w:rPr>
      </w:pPr>
      <w:r>
        <w:rPr>
          <w:rFonts w:hint="eastAsia"/>
          <w:sz w:val="28"/>
          <w:szCs w:val="28"/>
        </w:rPr>
        <w:t>该公司2</w:t>
      </w:r>
      <w:r>
        <w:rPr>
          <w:rFonts w:hint="eastAsia"/>
          <w:sz w:val="28"/>
          <w:szCs w:val="28"/>
          <w:lang w:val="en-US" w:eastAsia="zh-CN"/>
        </w:rPr>
        <w:t>021</w:t>
      </w:r>
      <w:r>
        <w:rPr>
          <w:rFonts w:hint="eastAsia"/>
          <w:sz w:val="28"/>
          <w:szCs w:val="28"/>
        </w:rPr>
        <w:t>年已经根据公司制定的事故应急预案演练要求和计划</w:t>
      </w:r>
      <w:r>
        <w:rPr>
          <w:rFonts w:hint="eastAsia"/>
          <w:sz w:val="28"/>
          <w:szCs w:val="28"/>
          <w:lang w:val="en-US" w:eastAsia="zh-CN"/>
        </w:rPr>
        <w:t>开展</w:t>
      </w:r>
      <w:r>
        <w:rPr>
          <w:rFonts w:hint="eastAsia"/>
          <w:sz w:val="28"/>
          <w:szCs w:val="28"/>
        </w:rPr>
        <w:t>事故应急演练，并对演练过程进行了记录，演练完成后进行了演练效果评价</w:t>
      </w:r>
      <w:r>
        <w:rPr>
          <w:rFonts w:hint="eastAsia"/>
          <w:sz w:val="28"/>
          <w:szCs w:val="28"/>
          <w:lang w:eastAsia="zh-CN"/>
        </w:rPr>
        <w:t>，</w:t>
      </w:r>
      <w:r>
        <w:rPr>
          <w:rFonts w:hint="eastAsia"/>
          <w:sz w:val="28"/>
          <w:szCs w:val="28"/>
          <w:lang w:val="en-US" w:eastAsia="zh-CN"/>
        </w:rPr>
        <w:t>详见报告附件14</w:t>
      </w:r>
      <w:r>
        <w:rPr>
          <w:rFonts w:hint="eastAsia"/>
          <w:sz w:val="28"/>
          <w:szCs w:val="28"/>
          <w:lang w:eastAsia="zh-CN"/>
        </w:rPr>
        <w:t>，</w:t>
      </w:r>
      <w:r>
        <w:rPr>
          <w:rFonts w:hint="eastAsia"/>
          <w:sz w:val="28"/>
          <w:szCs w:val="28"/>
          <w:lang w:val="en-US" w:eastAsia="zh-CN"/>
        </w:rPr>
        <w:t>同时该公司在与甲方签订作业HSE合同中，明确了双方应急救援要求，详见报告附件15</w:t>
      </w:r>
      <w:r>
        <w:rPr>
          <w:rFonts w:hint="eastAsia"/>
          <w:sz w:val="28"/>
          <w:szCs w:val="28"/>
        </w:rPr>
        <w:t>。</w:t>
      </w:r>
    </w:p>
    <w:p>
      <w:pPr>
        <w:adjustRightInd w:val="0"/>
        <w:snapToGrid w:val="0"/>
        <w:spacing w:line="360" w:lineRule="auto"/>
        <w:jc w:val="center"/>
        <w:rPr>
          <w:b/>
          <w:bCs/>
          <w:sz w:val="24"/>
          <w:szCs w:val="28"/>
        </w:rPr>
      </w:pPr>
      <w:r>
        <w:rPr>
          <w:rFonts w:hint="eastAsia"/>
          <w:b/>
          <w:bCs/>
          <w:sz w:val="24"/>
          <w:szCs w:val="28"/>
        </w:rPr>
        <w:t>表</w:t>
      </w:r>
      <w:r>
        <w:rPr>
          <w:b/>
          <w:bCs/>
          <w:sz w:val="24"/>
          <w:szCs w:val="28"/>
        </w:rPr>
        <w:t>2</w:t>
      </w:r>
      <w:r>
        <w:rPr>
          <w:rFonts w:hint="eastAsia"/>
          <w:b/>
          <w:bCs/>
          <w:sz w:val="24"/>
          <w:szCs w:val="28"/>
          <w:lang w:val="en-US" w:eastAsia="zh-CN"/>
        </w:rPr>
        <w:t>.11</w:t>
      </w:r>
      <w:r>
        <w:rPr>
          <w:rFonts w:hint="eastAsia"/>
          <w:b/>
          <w:bCs/>
          <w:sz w:val="24"/>
          <w:szCs w:val="28"/>
        </w:rPr>
        <w:t>-</w:t>
      </w:r>
      <w:r>
        <w:rPr>
          <w:rFonts w:hint="eastAsia"/>
          <w:b/>
          <w:bCs/>
          <w:sz w:val="24"/>
          <w:szCs w:val="28"/>
          <w:lang w:val="en-US" w:eastAsia="zh-CN"/>
        </w:rPr>
        <w:t xml:space="preserve">1 </w:t>
      </w:r>
      <w:r>
        <w:rPr>
          <w:b/>
          <w:bCs/>
          <w:sz w:val="24"/>
          <w:szCs w:val="28"/>
        </w:rPr>
        <w:t xml:space="preserve"> </w:t>
      </w:r>
      <w:r>
        <w:rPr>
          <w:rFonts w:hint="eastAsia"/>
          <w:b/>
          <w:bCs/>
          <w:sz w:val="24"/>
          <w:szCs w:val="28"/>
          <w:lang w:val="en-US" w:eastAsia="zh-CN"/>
        </w:rPr>
        <w:t>2021年</w:t>
      </w:r>
      <w:r>
        <w:rPr>
          <w:rFonts w:hint="eastAsia"/>
          <w:b/>
          <w:bCs/>
          <w:sz w:val="24"/>
          <w:szCs w:val="28"/>
        </w:rPr>
        <w:t>应急演练情况一览表</w:t>
      </w:r>
    </w:p>
    <w:tbl>
      <w:tblPr>
        <w:tblStyle w:val="52"/>
        <w:tblW w:w="82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27"/>
        <w:gridCol w:w="1449"/>
        <w:gridCol w:w="1500"/>
        <w:gridCol w:w="34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360" w:lineRule="exact"/>
              <w:ind w:left="0" w:right="0"/>
              <w:jc w:val="center"/>
              <w:textAlignment w:val="auto"/>
              <w:rPr>
                <w:rFonts w:hint="default"/>
                <w:b/>
                <w:szCs w:val="21"/>
              </w:rPr>
            </w:pPr>
            <w:r>
              <w:rPr>
                <w:rFonts w:hint="default"/>
                <w:b/>
                <w:szCs w:val="21"/>
              </w:rPr>
              <w:t>序号</w:t>
            </w:r>
          </w:p>
        </w:tc>
        <w:tc>
          <w:tcPr>
            <w:tcW w:w="112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360" w:lineRule="exact"/>
              <w:ind w:left="0" w:right="0"/>
              <w:jc w:val="center"/>
              <w:textAlignment w:val="auto"/>
              <w:rPr>
                <w:rFonts w:hint="default"/>
                <w:b/>
                <w:szCs w:val="21"/>
              </w:rPr>
            </w:pPr>
            <w:r>
              <w:rPr>
                <w:rFonts w:hint="default"/>
                <w:b/>
                <w:szCs w:val="21"/>
              </w:rPr>
              <w:t>演练时间</w:t>
            </w:r>
          </w:p>
        </w:tc>
        <w:tc>
          <w:tcPr>
            <w:tcW w:w="144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360" w:lineRule="exact"/>
              <w:ind w:left="0" w:right="0"/>
              <w:jc w:val="center"/>
              <w:textAlignment w:val="auto"/>
              <w:rPr>
                <w:rFonts w:hint="default"/>
                <w:b/>
                <w:szCs w:val="21"/>
              </w:rPr>
            </w:pPr>
            <w:r>
              <w:rPr>
                <w:rFonts w:hint="default"/>
                <w:b/>
                <w:szCs w:val="21"/>
              </w:rPr>
              <w:t>演练地点</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360" w:lineRule="exact"/>
              <w:ind w:left="0" w:right="0"/>
              <w:jc w:val="center"/>
              <w:textAlignment w:val="auto"/>
              <w:rPr>
                <w:rFonts w:hint="default"/>
                <w:b/>
                <w:szCs w:val="21"/>
              </w:rPr>
            </w:pPr>
            <w:r>
              <w:rPr>
                <w:rFonts w:hint="default"/>
                <w:b/>
                <w:szCs w:val="21"/>
              </w:rPr>
              <w:t>演练人员</w:t>
            </w:r>
          </w:p>
        </w:tc>
        <w:tc>
          <w:tcPr>
            <w:tcW w:w="34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360" w:lineRule="exact"/>
              <w:ind w:left="0" w:right="0"/>
              <w:jc w:val="center"/>
              <w:textAlignment w:val="auto"/>
              <w:rPr>
                <w:rFonts w:hint="default"/>
                <w:b/>
                <w:szCs w:val="21"/>
              </w:rPr>
            </w:pPr>
            <w:r>
              <w:rPr>
                <w:rFonts w:hint="default"/>
                <w:b/>
                <w:szCs w:val="21"/>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400" w:lineRule="exact"/>
              <w:ind w:left="0" w:right="0"/>
              <w:jc w:val="center"/>
              <w:textAlignment w:val="auto"/>
              <w:rPr>
                <w:rFonts w:hint="default"/>
                <w:szCs w:val="21"/>
              </w:rPr>
            </w:pPr>
            <w:r>
              <w:rPr>
                <w:rFonts w:hint="default"/>
                <w:szCs w:val="21"/>
              </w:rPr>
              <w:t>1</w:t>
            </w:r>
          </w:p>
        </w:tc>
        <w:tc>
          <w:tcPr>
            <w:tcW w:w="112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eastAsia="宋体"/>
                <w:szCs w:val="21"/>
                <w:lang w:val="en-US" w:eastAsia="zh-CN"/>
              </w:rPr>
            </w:pPr>
            <w:r>
              <w:rPr>
                <w:rFonts w:hint="eastAsia"/>
                <w:szCs w:val="21"/>
                <w:lang w:val="en-US" w:eastAsia="zh-CN"/>
              </w:rPr>
              <w:t>2021.3</w:t>
            </w:r>
          </w:p>
        </w:tc>
        <w:tc>
          <w:tcPr>
            <w:tcW w:w="144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eastAsia="宋体"/>
                <w:szCs w:val="21"/>
                <w:lang w:val="en-US" w:eastAsia="zh-CN"/>
              </w:rPr>
            </w:pPr>
            <w:r>
              <w:rPr>
                <w:rFonts w:hint="eastAsia"/>
                <w:szCs w:val="21"/>
                <w:lang w:val="en-US" w:eastAsia="zh-CN"/>
              </w:rPr>
              <w:t>东营</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eastAsia="宋体"/>
                <w:szCs w:val="21"/>
                <w:lang w:val="en-US" w:eastAsia="zh-CN"/>
              </w:rPr>
            </w:pPr>
            <w:r>
              <w:rPr>
                <w:rFonts w:hint="eastAsia"/>
                <w:szCs w:val="21"/>
                <w:lang w:val="en-US" w:eastAsia="zh-CN"/>
              </w:rPr>
              <w:t>全体二线员工</w:t>
            </w:r>
          </w:p>
        </w:tc>
        <w:tc>
          <w:tcPr>
            <w:tcW w:w="34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专项/急救应急演练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400" w:lineRule="exact"/>
              <w:ind w:left="0" w:right="0"/>
              <w:jc w:val="center"/>
              <w:textAlignment w:val="auto"/>
              <w:rPr>
                <w:rFonts w:hint="eastAsia" w:eastAsia="宋体"/>
                <w:szCs w:val="21"/>
                <w:lang w:val="en-US" w:eastAsia="zh-CN"/>
              </w:rPr>
            </w:pPr>
            <w:r>
              <w:rPr>
                <w:rFonts w:hint="eastAsia"/>
                <w:szCs w:val="21"/>
                <w:lang w:val="en-US" w:eastAsia="zh-CN"/>
              </w:rPr>
              <w:t>2</w:t>
            </w:r>
          </w:p>
        </w:tc>
        <w:tc>
          <w:tcPr>
            <w:tcW w:w="112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szCs w:val="21"/>
                <w:lang w:val="en-US" w:eastAsia="zh-CN"/>
              </w:rPr>
            </w:pPr>
            <w:r>
              <w:rPr>
                <w:rFonts w:hint="eastAsia"/>
                <w:szCs w:val="21"/>
                <w:lang w:val="en-US" w:eastAsia="zh-CN"/>
              </w:rPr>
              <w:t>2021.7</w:t>
            </w:r>
          </w:p>
        </w:tc>
        <w:tc>
          <w:tcPr>
            <w:tcW w:w="144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东营</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全体二线员工</w:t>
            </w:r>
          </w:p>
        </w:tc>
        <w:tc>
          <w:tcPr>
            <w:tcW w:w="34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专项/疏散应急演练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400" w:lineRule="exact"/>
              <w:ind w:left="0" w:right="0"/>
              <w:jc w:val="center"/>
              <w:textAlignment w:val="auto"/>
              <w:rPr>
                <w:rFonts w:hint="eastAsia" w:eastAsia="宋体"/>
                <w:szCs w:val="21"/>
                <w:lang w:val="en-US" w:eastAsia="zh-CN"/>
              </w:rPr>
            </w:pPr>
            <w:r>
              <w:rPr>
                <w:rFonts w:hint="eastAsia"/>
                <w:szCs w:val="21"/>
                <w:lang w:val="en-US" w:eastAsia="zh-CN"/>
              </w:rPr>
              <w:t>3</w:t>
            </w:r>
          </w:p>
        </w:tc>
        <w:tc>
          <w:tcPr>
            <w:tcW w:w="112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szCs w:val="21"/>
                <w:lang w:val="en-US" w:eastAsia="zh-CN"/>
              </w:rPr>
            </w:pPr>
            <w:r>
              <w:rPr>
                <w:rFonts w:hint="eastAsia"/>
                <w:szCs w:val="21"/>
                <w:lang w:val="en-US" w:eastAsia="zh-CN"/>
              </w:rPr>
              <w:t>2021.7</w:t>
            </w:r>
          </w:p>
        </w:tc>
        <w:tc>
          <w:tcPr>
            <w:tcW w:w="144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东营</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全体二线员工</w:t>
            </w:r>
          </w:p>
        </w:tc>
        <w:tc>
          <w:tcPr>
            <w:tcW w:w="34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专项/火灾应急演练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400" w:lineRule="exact"/>
              <w:ind w:left="0" w:right="0"/>
              <w:jc w:val="center"/>
              <w:textAlignment w:val="auto"/>
              <w:rPr>
                <w:rFonts w:hint="eastAsia" w:eastAsia="宋体"/>
                <w:szCs w:val="21"/>
                <w:lang w:val="en-US" w:eastAsia="zh-CN"/>
              </w:rPr>
            </w:pPr>
            <w:r>
              <w:rPr>
                <w:rFonts w:hint="eastAsia"/>
                <w:szCs w:val="21"/>
                <w:lang w:val="en-US" w:eastAsia="zh-CN"/>
              </w:rPr>
              <w:t>4</w:t>
            </w:r>
          </w:p>
        </w:tc>
        <w:tc>
          <w:tcPr>
            <w:tcW w:w="112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szCs w:val="21"/>
                <w:lang w:val="en-US" w:eastAsia="zh-CN"/>
              </w:rPr>
            </w:pPr>
            <w:r>
              <w:rPr>
                <w:rFonts w:hint="eastAsia"/>
                <w:szCs w:val="21"/>
                <w:lang w:val="en-US" w:eastAsia="zh-CN"/>
              </w:rPr>
              <w:t>2021.9</w:t>
            </w:r>
          </w:p>
        </w:tc>
        <w:tc>
          <w:tcPr>
            <w:tcW w:w="144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东营</w:t>
            </w:r>
          </w:p>
        </w:tc>
        <w:tc>
          <w:tcPr>
            <w:tcW w:w="15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全体二线员工</w:t>
            </w:r>
          </w:p>
        </w:tc>
        <w:tc>
          <w:tcPr>
            <w:tcW w:w="34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专项/新冠疫情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400" w:lineRule="exact"/>
              <w:ind w:left="0" w:right="0"/>
              <w:jc w:val="center"/>
              <w:textAlignment w:val="auto"/>
              <w:rPr>
                <w:rFonts w:hint="default"/>
                <w:szCs w:val="21"/>
                <w:lang w:val="en-US" w:eastAsia="zh-CN"/>
              </w:rPr>
            </w:pPr>
            <w:r>
              <w:rPr>
                <w:rFonts w:hint="eastAsia"/>
                <w:szCs w:val="21"/>
                <w:lang w:val="en-US" w:eastAsia="zh-CN"/>
              </w:rPr>
              <w:t>5</w:t>
            </w:r>
          </w:p>
        </w:tc>
        <w:tc>
          <w:tcPr>
            <w:tcW w:w="1127"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szCs w:val="21"/>
                <w:lang w:val="en-US" w:eastAsia="zh-CN"/>
              </w:rPr>
            </w:pPr>
            <w:r>
              <w:rPr>
                <w:rFonts w:hint="eastAsia"/>
                <w:szCs w:val="21"/>
                <w:lang w:val="en-US" w:eastAsia="zh-CN"/>
              </w:rPr>
              <w:t>2021年度</w:t>
            </w:r>
          </w:p>
        </w:tc>
        <w:tc>
          <w:tcPr>
            <w:tcW w:w="144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szCs w:val="21"/>
                <w:lang w:val="en-US" w:eastAsia="zh-CN"/>
              </w:rPr>
            </w:pPr>
            <w:r>
              <w:rPr>
                <w:rFonts w:hint="eastAsia"/>
                <w:szCs w:val="21"/>
                <w:lang w:val="en-US" w:eastAsia="zh-CN"/>
              </w:rPr>
              <w:t>作业现场</w:t>
            </w:r>
          </w:p>
        </w:tc>
        <w:tc>
          <w:tcPr>
            <w:tcW w:w="150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szCs w:val="21"/>
                <w:lang w:val="en-US" w:eastAsia="zh-CN"/>
              </w:rPr>
            </w:pPr>
            <w:r>
              <w:rPr>
                <w:rFonts w:hint="eastAsia"/>
                <w:szCs w:val="21"/>
                <w:lang w:val="en-US" w:eastAsia="zh-CN"/>
              </w:rPr>
              <w:t>作业人员</w:t>
            </w:r>
          </w:p>
        </w:tc>
        <w:tc>
          <w:tcPr>
            <w:tcW w:w="34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ascii="Times New Roman" w:hAnsi="Times New Roman" w:eastAsia="宋体" w:cs="Times New Roman"/>
                <w:color w:val="auto"/>
                <w:sz w:val="21"/>
                <w:szCs w:val="21"/>
                <w:shd w:val="clear" w:color="auto" w:fill="FFFFFF"/>
                <w:lang w:val="en-US" w:eastAsia="zh-CN"/>
              </w:rPr>
              <w:t>演练内容包括防喷演习、硫化氢演习、消防演习等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0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line="400" w:lineRule="exact"/>
              <w:ind w:left="0" w:right="0"/>
              <w:jc w:val="center"/>
              <w:textAlignment w:val="auto"/>
              <w:rPr>
                <w:rFonts w:hint="eastAsia"/>
                <w:szCs w:val="21"/>
                <w:lang w:val="en-US" w:eastAsia="zh-CN"/>
              </w:rPr>
            </w:pPr>
          </w:p>
        </w:tc>
        <w:tc>
          <w:tcPr>
            <w:tcW w:w="1127"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p>
        </w:tc>
        <w:tc>
          <w:tcPr>
            <w:tcW w:w="1449"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p>
        </w:tc>
        <w:tc>
          <w:tcPr>
            <w:tcW w:w="150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p>
        </w:tc>
        <w:tc>
          <w:tcPr>
            <w:tcW w:w="349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西南项目部演练频次共计21次</w:t>
            </w:r>
          </w:p>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西北局项目部演练频次共计44次</w:t>
            </w:r>
          </w:p>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吐哈项目部演练频次共计26次</w:t>
            </w:r>
          </w:p>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青海项目部演练频次共计13次</w:t>
            </w:r>
          </w:p>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长庆项目部演练频次共计7次</w:t>
            </w:r>
          </w:p>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eastAsia"/>
                <w:szCs w:val="21"/>
                <w:lang w:val="en-US" w:eastAsia="zh-CN"/>
              </w:rPr>
            </w:pPr>
            <w:r>
              <w:rPr>
                <w:rFonts w:hint="eastAsia"/>
                <w:szCs w:val="21"/>
                <w:lang w:val="en-US" w:eastAsia="zh-CN"/>
              </w:rPr>
              <w:t>大庆项目部演练频次共计18次</w:t>
            </w:r>
          </w:p>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szCs w:val="21"/>
                <w:lang w:val="en-US" w:eastAsia="zh-CN"/>
              </w:rPr>
            </w:pPr>
            <w:r>
              <w:rPr>
                <w:rFonts w:hint="eastAsia"/>
                <w:szCs w:val="21"/>
                <w:lang w:val="en-US" w:eastAsia="zh-CN"/>
              </w:rPr>
              <w:t>冀东项目部演练频次共计4次</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Times New Roman" w:hAnsi="Times New Roman" w:cs="Times New Roman"/>
          <w:b/>
          <w:bCs/>
          <w:smallCaps w:val="0"/>
          <w:color w:val="FF0000"/>
          <w:sz w:val="28"/>
          <w:lang w:val="en-US" w:eastAsia="zh-CN"/>
        </w:rPr>
      </w:pPr>
      <w:r>
        <w:rPr>
          <w:rFonts w:hint="eastAsia"/>
          <w:b/>
          <w:bCs/>
          <w:sz w:val="24"/>
          <w:szCs w:val="28"/>
        </w:rPr>
        <w:t>表</w:t>
      </w:r>
      <w:r>
        <w:rPr>
          <w:b/>
          <w:bCs/>
          <w:sz w:val="24"/>
          <w:szCs w:val="28"/>
        </w:rPr>
        <w:t>2</w:t>
      </w:r>
      <w:r>
        <w:rPr>
          <w:rFonts w:hint="eastAsia"/>
          <w:b/>
          <w:bCs/>
          <w:sz w:val="24"/>
          <w:szCs w:val="28"/>
          <w:lang w:val="en-US" w:eastAsia="zh-CN"/>
        </w:rPr>
        <w:t>.11</w:t>
      </w:r>
      <w:r>
        <w:rPr>
          <w:rFonts w:hint="eastAsia"/>
          <w:b/>
          <w:bCs/>
          <w:sz w:val="24"/>
          <w:szCs w:val="28"/>
        </w:rPr>
        <w:t>-</w:t>
      </w:r>
      <w:r>
        <w:rPr>
          <w:rFonts w:hint="eastAsia"/>
          <w:b/>
          <w:bCs/>
          <w:sz w:val="24"/>
          <w:szCs w:val="28"/>
          <w:lang w:val="en-US" w:eastAsia="zh-CN"/>
        </w:rPr>
        <w:t>2  2022年</w:t>
      </w:r>
      <w:r>
        <w:rPr>
          <w:rFonts w:hint="eastAsia"/>
          <w:b/>
          <w:bCs/>
          <w:sz w:val="24"/>
          <w:szCs w:val="28"/>
        </w:rPr>
        <w:t>应急演练</w:t>
      </w:r>
      <w:r>
        <w:rPr>
          <w:rFonts w:hint="eastAsia"/>
          <w:b/>
          <w:bCs/>
          <w:sz w:val="24"/>
          <w:szCs w:val="28"/>
          <w:lang w:val="en-US" w:eastAsia="zh-CN"/>
        </w:rPr>
        <w:t>计划</w:t>
      </w:r>
      <w:r>
        <w:rPr>
          <w:rFonts w:hint="eastAsia"/>
          <w:b/>
          <w:bCs/>
          <w:sz w:val="24"/>
          <w:szCs w:val="28"/>
        </w:rPr>
        <w:t>一览表</w:t>
      </w:r>
    </w:p>
    <w:tbl>
      <w:tblPr>
        <w:tblStyle w:val="52"/>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534"/>
        <w:gridCol w:w="1270"/>
        <w:gridCol w:w="1757"/>
        <w:gridCol w:w="1080"/>
        <w:gridCol w:w="19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61"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b/>
                <w:bCs/>
                <w:color w:val="000000"/>
                <w:sz w:val="21"/>
                <w:szCs w:val="21"/>
                <w:shd w:val="clear" w:color="auto" w:fill="FFFFFF"/>
              </w:rPr>
            </w:pPr>
            <w:r>
              <w:rPr>
                <w:rFonts w:hint="default" w:ascii="Times New Roman" w:hAnsi="Times New Roman" w:eastAsia="宋体" w:cs="Times New Roman"/>
                <w:b/>
                <w:bCs/>
                <w:color w:val="000000"/>
                <w:sz w:val="21"/>
                <w:szCs w:val="21"/>
                <w:shd w:val="clear" w:color="auto" w:fill="FFFFFF"/>
              </w:rPr>
              <w:t>序号</w:t>
            </w:r>
          </w:p>
        </w:tc>
        <w:tc>
          <w:tcPr>
            <w:tcW w:w="153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b/>
                <w:bCs/>
                <w:color w:val="000000"/>
                <w:sz w:val="21"/>
                <w:szCs w:val="21"/>
                <w:shd w:val="clear" w:color="auto" w:fill="FFFFFF"/>
                <w:lang w:val="en-US" w:eastAsia="zh-CN"/>
              </w:rPr>
            </w:pPr>
            <w:r>
              <w:rPr>
                <w:rFonts w:hint="default" w:ascii="Times New Roman" w:hAnsi="Times New Roman" w:eastAsia="宋体" w:cs="Times New Roman"/>
                <w:b/>
                <w:bCs/>
                <w:color w:val="000000"/>
                <w:sz w:val="21"/>
                <w:szCs w:val="21"/>
                <w:shd w:val="clear" w:color="auto" w:fill="FFFFFF"/>
              </w:rPr>
              <w:t>应急</w:t>
            </w:r>
            <w:r>
              <w:rPr>
                <w:rFonts w:hint="default" w:ascii="Times New Roman" w:hAnsi="Times New Roman" w:eastAsia="宋体" w:cs="Times New Roman"/>
                <w:b/>
                <w:bCs/>
                <w:color w:val="000000"/>
                <w:sz w:val="21"/>
                <w:szCs w:val="21"/>
                <w:shd w:val="clear" w:color="auto" w:fill="FFFFFF"/>
                <w:lang w:val="en-US" w:eastAsia="zh-CN"/>
              </w:rPr>
              <w:t>演练名称</w:t>
            </w:r>
          </w:p>
        </w:tc>
        <w:tc>
          <w:tcPr>
            <w:tcW w:w="127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b/>
                <w:bCs/>
                <w:color w:val="000000"/>
                <w:sz w:val="21"/>
                <w:szCs w:val="21"/>
                <w:shd w:val="clear" w:color="auto" w:fill="FFFFFF"/>
                <w:lang w:val="en-US" w:eastAsia="zh-CN"/>
              </w:rPr>
            </w:pPr>
            <w:r>
              <w:rPr>
                <w:rFonts w:hint="default" w:ascii="Times New Roman" w:hAnsi="Times New Roman" w:eastAsia="宋体" w:cs="Times New Roman"/>
                <w:b/>
                <w:bCs/>
                <w:color w:val="000000"/>
                <w:sz w:val="21"/>
                <w:szCs w:val="21"/>
                <w:shd w:val="clear" w:color="auto" w:fill="FFFFFF"/>
                <w:lang w:val="en-US" w:eastAsia="zh-CN"/>
              </w:rPr>
              <w:t>类别</w:t>
            </w:r>
          </w:p>
        </w:tc>
        <w:tc>
          <w:tcPr>
            <w:tcW w:w="1757"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b/>
                <w:bCs/>
                <w:color w:val="000000"/>
                <w:sz w:val="21"/>
                <w:szCs w:val="21"/>
                <w:shd w:val="clear" w:color="auto" w:fill="FFFFFF"/>
              </w:rPr>
            </w:pPr>
            <w:r>
              <w:rPr>
                <w:rFonts w:hint="default" w:ascii="Times New Roman" w:hAnsi="Times New Roman" w:eastAsia="宋体" w:cs="Times New Roman"/>
                <w:b/>
                <w:bCs/>
                <w:color w:val="000000"/>
                <w:sz w:val="21"/>
                <w:szCs w:val="21"/>
                <w:shd w:val="clear" w:color="auto" w:fill="FFFFFF"/>
              </w:rPr>
              <w:t>演练部门</w:t>
            </w:r>
          </w:p>
        </w:tc>
        <w:tc>
          <w:tcPr>
            <w:tcW w:w="108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b/>
                <w:bCs/>
                <w:color w:val="000000"/>
                <w:sz w:val="21"/>
                <w:szCs w:val="21"/>
                <w:shd w:val="clear" w:color="auto" w:fill="FFFFFF"/>
              </w:rPr>
            </w:pPr>
            <w:r>
              <w:rPr>
                <w:rFonts w:hint="default" w:ascii="Times New Roman" w:hAnsi="Times New Roman" w:eastAsia="宋体" w:cs="Times New Roman"/>
                <w:b/>
                <w:bCs/>
                <w:color w:val="000000"/>
                <w:sz w:val="21"/>
                <w:szCs w:val="21"/>
                <w:shd w:val="clear" w:color="auto" w:fill="FFFFFF"/>
              </w:rPr>
              <w:t>演练时间</w:t>
            </w:r>
          </w:p>
        </w:tc>
        <w:tc>
          <w:tcPr>
            <w:tcW w:w="19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b/>
                <w:bCs/>
                <w:color w:val="000000"/>
                <w:sz w:val="21"/>
                <w:szCs w:val="21"/>
                <w:shd w:val="clear" w:color="auto" w:fill="FFFFFF"/>
              </w:rPr>
            </w:pPr>
            <w:r>
              <w:rPr>
                <w:rFonts w:hint="default" w:ascii="Times New Roman" w:hAnsi="Times New Roman" w:eastAsia="宋体" w:cs="Times New Roman"/>
                <w:b/>
                <w:bCs/>
                <w:color w:val="000000"/>
                <w:sz w:val="21"/>
                <w:szCs w:val="21"/>
                <w:shd w:val="clear" w:color="auto" w:fill="FFFFFF"/>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000000"/>
                <w:sz w:val="21"/>
                <w:szCs w:val="21"/>
                <w:shd w:val="clear" w:color="auto" w:fill="FFFFFF"/>
                <w:lang w:val="en-US" w:eastAsia="zh-CN"/>
              </w:rPr>
            </w:pPr>
            <w:r>
              <w:rPr>
                <w:rFonts w:hint="default" w:ascii="Times New Roman" w:hAnsi="Times New Roman" w:eastAsia="宋体" w:cs="Times New Roman"/>
                <w:color w:val="000000"/>
                <w:sz w:val="21"/>
                <w:szCs w:val="21"/>
                <w:shd w:val="clear" w:color="auto" w:fill="FFFFFF"/>
                <w:lang w:val="en-US" w:eastAsia="zh-CN"/>
              </w:rPr>
              <w:t>1</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eastAsia="zh-CN"/>
              </w:rPr>
              <w:t>起重伤害</w:t>
            </w:r>
            <w:r>
              <w:rPr>
                <w:rFonts w:hint="eastAsia" w:cs="Times New Roman"/>
                <w:color w:val="auto"/>
                <w:sz w:val="21"/>
                <w:szCs w:val="21"/>
                <w:shd w:val="clear" w:color="auto" w:fill="FFFFFF"/>
                <w:lang w:val="en-US" w:eastAsia="zh-CN"/>
              </w:rPr>
              <w:t>事故</w:t>
            </w:r>
            <w:r>
              <w:rPr>
                <w:rFonts w:hint="default" w:ascii="Times New Roman" w:hAnsi="Times New Roman" w:eastAsia="宋体" w:cs="Times New Roman"/>
                <w:color w:val="auto"/>
                <w:sz w:val="21"/>
                <w:szCs w:val="21"/>
                <w:shd w:val="clear" w:color="auto" w:fill="FFFFFF"/>
                <w:lang w:eastAsia="zh-CN"/>
              </w:rPr>
              <w:t>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现场处置</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eastAsia="zh-CN"/>
              </w:rPr>
              <w:t>作业</w:t>
            </w:r>
            <w:r>
              <w:rPr>
                <w:rFonts w:hint="default" w:ascii="Times New Roman" w:hAnsi="Times New Roman" w:eastAsia="宋体" w:cs="Times New Roman"/>
                <w:color w:val="auto"/>
                <w:sz w:val="21"/>
                <w:szCs w:val="21"/>
                <w:shd w:val="clear" w:color="auto" w:fill="FFFFFF"/>
                <w:lang w:val="en-US" w:eastAsia="zh-CN"/>
              </w:rPr>
              <w:t>部（维修）</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2月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000000"/>
                <w:sz w:val="21"/>
                <w:szCs w:val="21"/>
                <w:shd w:val="clear" w:color="auto" w:fill="FFFFFF"/>
                <w:lang w:val="en-US" w:eastAsia="zh-CN"/>
              </w:rPr>
            </w:pPr>
            <w:r>
              <w:rPr>
                <w:rFonts w:hint="default" w:ascii="Times New Roman" w:hAnsi="Times New Roman" w:eastAsia="宋体" w:cs="Times New Roman"/>
                <w:color w:val="000000"/>
                <w:sz w:val="21"/>
                <w:szCs w:val="21"/>
                <w:shd w:val="clear" w:color="auto" w:fill="FFFFFF"/>
                <w:lang w:val="en-US" w:eastAsia="zh-CN"/>
              </w:rPr>
              <w:t>2</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车辆伤害</w:t>
            </w:r>
            <w:r>
              <w:rPr>
                <w:rFonts w:hint="eastAsia" w:cs="Times New Roman"/>
                <w:color w:val="auto"/>
                <w:sz w:val="21"/>
                <w:szCs w:val="21"/>
                <w:shd w:val="clear" w:color="auto" w:fill="FFFFFF"/>
                <w:lang w:val="en-US" w:eastAsia="zh-CN"/>
              </w:rPr>
              <w:t>事故</w:t>
            </w:r>
            <w:r>
              <w:rPr>
                <w:rFonts w:hint="default" w:ascii="Times New Roman" w:hAnsi="Times New Roman" w:eastAsia="宋体" w:cs="Times New Roman"/>
                <w:color w:val="auto"/>
                <w:sz w:val="21"/>
                <w:szCs w:val="21"/>
                <w:shd w:val="clear" w:color="auto" w:fill="FFFFFF"/>
                <w:lang w:val="en-US" w:eastAsia="zh-CN"/>
              </w:rPr>
              <w:t>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现场处置</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行政部</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3月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eastAsia" w:cs="Times New Roman"/>
                <w:color w:val="000000"/>
                <w:sz w:val="21"/>
                <w:szCs w:val="21"/>
                <w:shd w:val="clear" w:color="auto" w:fill="FFFFFF"/>
                <w:lang w:val="en-US" w:eastAsia="zh-CN"/>
              </w:rPr>
              <w:t>3</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硫化氢泄露</w:t>
            </w:r>
            <w:r>
              <w:rPr>
                <w:rFonts w:hint="eastAsia" w:cs="Times New Roman"/>
                <w:color w:val="auto"/>
                <w:sz w:val="21"/>
                <w:szCs w:val="21"/>
                <w:shd w:val="clear" w:color="auto" w:fill="FFFFFF"/>
                <w:lang w:val="en-US" w:eastAsia="zh-CN"/>
              </w:rPr>
              <w:t>事故</w:t>
            </w:r>
            <w:r>
              <w:rPr>
                <w:rFonts w:hint="default" w:ascii="Times New Roman" w:hAnsi="Times New Roman" w:eastAsia="宋体" w:cs="Times New Roman"/>
                <w:color w:val="auto"/>
                <w:sz w:val="21"/>
                <w:szCs w:val="21"/>
                <w:shd w:val="clear" w:color="auto" w:fill="FFFFFF"/>
                <w:lang w:eastAsia="zh-CN"/>
              </w:rPr>
              <w:t>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专项</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作业部</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4月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公司桌面演习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sz w:val="21"/>
                <w:szCs w:val="21"/>
                <w:shd w:val="clear" w:color="auto" w:fill="FFFFFF"/>
                <w:lang w:val="en-US" w:eastAsia="zh-CN"/>
              </w:rPr>
              <w:t>4</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特种设备事故演习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专项</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eastAsia="zh-CN"/>
              </w:rPr>
              <w:t>作业</w:t>
            </w:r>
            <w:r>
              <w:rPr>
                <w:rFonts w:hint="default" w:ascii="Times New Roman" w:hAnsi="Times New Roman" w:eastAsia="宋体" w:cs="Times New Roman"/>
                <w:color w:val="auto"/>
                <w:sz w:val="21"/>
                <w:szCs w:val="21"/>
                <w:shd w:val="clear" w:color="auto" w:fill="FFFFFF"/>
                <w:lang w:val="en-US" w:eastAsia="zh-CN"/>
              </w:rPr>
              <w:t>部（维修）</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eastAsia" w:cs="Times New Roman"/>
                <w:color w:val="auto"/>
                <w:sz w:val="21"/>
                <w:szCs w:val="21"/>
                <w:shd w:val="clear" w:color="auto" w:fill="FFFFFF"/>
                <w:lang w:val="en-US" w:eastAsia="zh-CN"/>
              </w:rPr>
              <w:t>7月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sz w:val="21"/>
                <w:szCs w:val="21"/>
                <w:shd w:val="clear" w:color="auto" w:fill="FFFFFF"/>
                <w:lang w:val="en-US" w:eastAsia="zh-CN"/>
              </w:rPr>
              <w:t>5</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疏散演习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综合</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全体员工</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8月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sz w:val="21"/>
                <w:szCs w:val="21"/>
                <w:shd w:val="clear" w:color="auto" w:fill="FFFFFF"/>
                <w:lang w:val="en-US" w:eastAsia="zh-CN"/>
              </w:rPr>
              <w:t>6</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火灾</w:t>
            </w:r>
            <w:r>
              <w:rPr>
                <w:rFonts w:hint="eastAsia" w:cs="Times New Roman"/>
                <w:color w:val="auto"/>
                <w:sz w:val="21"/>
                <w:szCs w:val="21"/>
                <w:shd w:val="clear" w:color="auto" w:fill="FFFFFF"/>
                <w:lang w:val="en-US" w:eastAsia="zh-CN"/>
              </w:rPr>
              <w:t>事故</w:t>
            </w:r>
            <w:r>
              <w:rPr>
                <w:rFonts w:hint="default" w:ascii="Times New Roman" w:hAnsi="Times New Roman" w:eastAsia="宋体" w:cs="Times New Roman"/>
                <w:color w:val="auto"/>
                <w:sz w:val="21"/>
                <w:szCs w:val="21"/>
                <w:shd w:val="clear" w:color="auto" w:fill="FFFFFF"/>
                <w:lang w:val="en-US" w:eastAsia="zh-CN"/>
              </w:rPr>
              <w:t>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专项</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全体员工</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8月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sz w:val="21"/>
                <w:szCs w:val="21"/>
                <w:shd w:val="clear" w:color="auto" w:fill="FFFFFF"/>
                <w:lang w:val="en-US" w:eastAsia="zh-CN"/>
              </w:rPr>
            </w:pPr>
            <w:r>
              <w:rPr>
                <w:rFonts w:hint="eastAsia" w:cs="Times New Roman"/>
                <w:color w:val="000000"/>
                <w:sz w:val="21"/>
                <w:szCs w:val="21"/>
                <w:shd w:val="clear" w:color="auto" w:fill="FFFFFF"/>
                <w:lang w:val="en-US" w:eastAsia="zh-CN"/>
              </w:rPr>
              <w:t>7</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sz w:val="21"/>
                <w:szCs w:val="21"/>
                <w:shd w:val="clear" w:color="auto" w:fill="FFFFFF"/>
                <w:lang w:val="en-US" w:eastAsia="zh-CN"/>
              </w:rPr>
              <w:t>井喷现场处置方案</w:t>
            </w:r>
            <w:r>
              <w:rPr>
                <w:rFonts w:hint="default" w:ascii="Times New Roman" w:hAnsi="Times New Roman" w:eastAsia="宋体" w:cs="Times New Roman"/>
                <w:color w:val="auto"/>
                <w:sz w:val="21"/>
                <w:szCs w:val="21"/>
                <w:shd w:val="clear" w:color="auto" w:fill="FFFFFF"/>
                <w:lang w:val="en-US" w:eastAsia="zh-CN"/>
              </w:rPr>
              <w:t>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现场处置</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作业部</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9月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公司桌面演习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eastAsia" w:cs="Times New Roman"/>
                <w:color w:val="000000"/>
                <w:kern w:val="2"/>
                <w:sz w:val="21"/>
                <w:szCs w:val="21"/>
                <w:shd w:val="clear" w:color="auto" w:fill="FFFFFF"/>
                <w:lang w:val="en-US" w:eastAsia="zh-CN" w:bidi="ar-SA"/>
              </w:rPr>
              <w:t>8</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eastAsia="zh-CN"/>
              </w:rPr>
            </w:pPr>
            <w:r>
              <w:rPr>
                <w:rFonts w:hint="default" w:ascii="Times New Roman" w:hAnsi="Times New Roman" w:eastAsia="宋体" w:cs="Times New Roman"/>
                <w:color w:val="auto"/>
                <w:sz w:val="21"/>
                <w:szCs w:val="21"/>
                <w:shd w:val="clear" w:color="auto" w:fill="FFFFFF"/>
                <w:lang w:eastAsia="zh-CN"/>
              </w:rPr>
              <w:t>触电事故演习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r>
              <w:rPr>
                <w:rFonts w:hint="default" w:ascii="Times New Roman" w:hAnsi="Times New Roman" w:eastAsia="宋体" w:cs="Times New Roman"/>
                <w:color w:val="auto"/>
                <w:sz w:val="21"/>
                <w:szCs w:val="21"/>
                <w:shd w:val="clear" w:color="auto" w:fill="FFFFFF"/>
                <w:lang w:val="en-US" w:eastAsia="zh-CN"/>
              </w:rPr>
              <w:t>综合</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lang w:val="en-US" w:eastAsia="zh-CN"/>
              </w:rPr>
              <w:t>机加工</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rPr>
            </w:pPr>
            <w:r>
              <w:rPr>
                <w:rFonts w:hint="default" w:ascii="Times New Roman" w:hAnsi="Times New Roman" w:eastAsia="宋体" w:cs="Times New Roman"/>
                <w:color w:val="auto"/>
                <w:sz w:val="21"/>
                <w:szCs w:val="21"/>
                <w:shd w:val="clear" w:color="auto" w:fill="FFFFFF"/>
                <w:lang w:val="en-US" w:eastAsia="zh-CN"/>
              </w:rPr>
              <w:t>10</w:t>
            </w:r>
            <w:r>
              <w:rPr>
                <w:rFonts w:hint="default" w:ascii="Times New Roman" w:hAnsi="Times New Roman" w:eastAsia="宋体" w:cs="Times New Roman"/>
                <w:color w:val="auto"/>
                <w:sz w:val="21"/>
                <w:szCs w:val="21"/>
                <w:shd w:val="clear" w:color="auto" w:fill="FFFFFF"/>
              </w:rPr>
              <w:t>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eastAsia" w:cs="Times New Roman"/>
                <w:color w:val="000000"/>
                <w:sz w:val="21"/>
                <w:szCs w:val="21"/>
                <w:shd w:val="clear" w:color="auto" w:fill="FFFFFF"/>
                <w:lang w:val="en-US" w:eastAsia="zh-CN"/>
              </w:rPr>
              <w:t>9</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eastAsia="zh-CN"/>
              </w:rPr>
              <w:t>起重伤害演习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现场处置</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eastAsia="zh-CN"/>
              </w:rPr>
              <w:t>作业</w:t>
            </w:r>
            <w:r>
              <w:rPr>
                <w:rFonts w:hint="default" w:ascii="Times New Roman" w:hAnsi="Times New Roman" w:eastAsia="宋体" w:cs="Times New Roman"/>
                <w:color w:val="auto"/>
                <w:sz w:val="21"/>
                <w:szCs w:val="21"/>
                <w:shd w:val="clear" w:color="auto" w:fill="FFFFFF"/>
                <w:lang w:val="en-US" w:eastAsia="zh-CN"/>
              </w:rPr>
              <w:t>部（维修）</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11月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default" w:ascii="Times New Roman" w:hAnsi="Times New Roman" w:eastAsia="宋体" w:cs="Times New Roman"/>
                <w:color w:val="000000"/>
                <w:sz w:val="21"/>
                <w:szCs w:val="21"/>
                <w:shd w:val="clear" w:color="auto" w:fill="FFFFFF"/>
                <w:lang w:val="en-US" w:eastAsia="zh-CN"/>
              </w:rPr>
              <w:t>1</w:t>
            </w:r>
            <w:r>
              <w:rPr>
                <w:rFonts w:hint="eastAsia" w:cs="Times New Roman"/>
                <w:color w:val="000000"/>
                <w:sz w:val="21"/>
                <w:szCs w:val="21"/>
                <w:shd w:val="clear" w:color="auto" w:fill="FFFFFF"/>
                <w:lang w:val="en-US" w:eastAsia="zh-CN"/>
              </w:rPr>
              <w:t>0</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车辆事故演习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现场处置</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行政部</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12月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right="0"/>
              <w:jc w:val="center"/>
              <w:textAlignment w:val="auto"/>
              <w:rPr>
                <w:rFonts w:hint="default" w:ascii="Times New Roman" w:hAnsi="Times New Roman" w:eastAsia="宋体" w:cs="Times New Roman"/>
                <w:color w:val="auto"/>
                <w:sz w:val="21"/>
                <w:szCs w:val="21"/>
                <w:shd w:val="clear" w:color="auto" w:fill="FFFFFF"/>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eastAsia" w:cs="Times New Roman"/>
                <w:color w:val="000000"/>
                <w:sz w:val="21"/>
                <w:szCs w:val="21"/>
                <w:shd w:val="clear" w:color="auto" w:fill="FFFFFF"/>
                <w:lang w:val="en-US" w:eastAsia="zh-CN"/>
              </w:rPr>
              <w:t>11</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sz w:val="21"/>
                <w:szCs w:val="21"/>
                <w:shd w:val="clear" w:color="auto" w:fill="FFFFFF"/>
                <w:lang w:val="en-US" w:eastAsia="zh-CN"/>
              </w:rPr>
              <w:t>中毒窒息现场处置方案演习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现场处置</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项目部</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每月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按照甲方井队要求参与演习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000000"/>
                <w:kern w:val="2"/>
                <w:sz w:val="21"/>
                <w:szCs w:val="21"/>
                <w:shd w:val="clear" w:color="auto" w:fill="FFFFFF"/>
                <w:lang w:val="en-US" w:eastAsia="zh-CN" w:bidi="ar-SA"/>
              </w:rPr>
            </w:pPr>
            <w:r>
              <w:rPr>
                <w:rFonts w:hint="eastAsia" w:cs="Times New Roman"/>
                <w:color w:val="000000"/>
                <w:kern w:val="2"/>
                <w:sz w:val="21"/>
                <w:szCs w:val="21"/>
                <w:shd w:val="clear" w:color="auto" w:fill="FFFFFF"/>
                <w:lang w:val="en-US" w:eastAsia="zh-CN" w:bidi="ar-SA"/>
              </w:rPr>
              <w:t>12</w:t>
            </w:r>
          </w:p>
        </w:tc>
        <w:tc>
          <w:tcPr>
            <w:tcW w:w="15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eastAsia" w:cs="Times New Roman"/>
                <w:color w:val="auto"/>
                <w:sz w:val="21"/>
                <w:szCs w:val="21"/>
                <w:shd w:val="clear" w:color="auto" w:fill="FFFFFF"/>
                <w:lang w:val="en-US" w:eastAsia="zh-CN"/>
              </w:rPr>
              <w:t>井喷现场处置方案</w:t>
            </w:r>
            <w:r>
              <w:rPr>
                <w:rFonts w:hint="default" w:ascii="Times New Roman" w:hAnsi="Times New Roman" w:eastAsia="宋体" w:cs="Times New Roman"/>
                <w:color w:val="auto"/>
                <w:sz w:val="21"/>
                <w:szCs w:val="21"/>
                <w:shd w:val="clear" w:color="auto" w:fill="FFFFFF"/>
                <w:lang w:val="en-US" w:eastAsia="zh-CN"/>
              </w:rPr>
              <w:t>演习</w:t>
            </w:r>
          </w:p>
        </w:tc>
        <w:tc>
          <w:tcPr>
            <w:tcW w:w="12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现场处置</w:t>
            </w:r>
          </w:p>
        </w:tc>
        <w:tc>
          <w:tcPr>
            <w:tcW w:w="175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项目部</w:t>
            </w:r>
          </w:p>
        </w:tc>
        <w:tc>
          <w:tcPr>
            <w:tcW w:w="108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每月</w:t>
            </w:r>
          </w:p>
        </w:tc>
        <w:tc>
          <w:tcPr>
            <w:tcW w:w="19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32" w:beforeLines="10" w:beforeAutospacing="0" w:after="32" w:afterLines="10" w:afterAutospacing="0"/>
              <w:ind w:left="0" w:leftChars="0" w:right="0" w:right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color w:val="auto"/>
                <w:sz w:val="21"/>
                <w:szCs w:val="21"/>
                <w:shd w:val="clear" w:color="auto" w:fill="FFFFFF"/>
                <w:lang w:val="en-US" w:eastAsia="zh-CN"/>
              </w:rPr>
              <w:t>按照甲方井队要求参与演习</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default" w:cs="Times New Roman"/>
          <w:b w:val="0"/>
          <w:bCs w:val="0"/>
          <w:smallCaps w:val="0"/>
          <w:color w:val="auto"/>
          <w:sz w:val="28"/>
          <w:lang w:val="en-US" w:eastAsia="zh-CN"/>
        </w:rPr>
      </w:pPr>
      <w:r>
        <w:rPr>
          <w:rFonts w:hint="eastAsia" w:cs="Times New Roman"/>
          <w:b w:val="0"/>
          <w:bCs w:val="0"/>
          <w:smallCaps w:val="0"/>
          <w:color w:val="auto"/>
          <w:sz w:val="28"/>
          <w:lang w:val="en-US" w:eastAsia="zh-CN"/>
        </w:rPr>
        <w:t>2022年2月9日斯伦贝谢油田技术（山东）有限公司员工蒋安峰、李际红、梁雨、张海涛（其中梁雨已外派成都）随井队开展防喷演习，井号GY2-Q5-H1，演习关井成功。</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cs="Times New Roman"/>
          <w:b w:val="0"/>
          <w:bCs w:val="0"/>
          <w:smallCaps w:val="0"/>
          <w:color w:val="auto"/>
          <w:sz w:val="28"/>
          <w:lang w:val="en-US" w:eastAsia="zh-CN"/>
        </w:rPr>
      </w:pPr>
      <w:r>
        <w:rPr>
          <w:rFonts w:hint="eastAsia" w:cs="Times New Roman"/>
          <w:b w:val="0"/>
          <w:bCs w:val="0"/>
          <w:smallCaps w:val="0"/>
          <w:color w:val="auto"/>
          <w:sz w:val="28"/>
          <w:lang w:val="en-US" w:eastAsia="zh-CN"/>
        </w:rPr>
        <w:t>2022年2月15日斯伦贝谢油田技术（山东）有限公司员工朱先涛、王晓龙、董亚良、隋朋君、任善星（其中王晓龙、仁善星已外派成都）随井队开展防喷演习，井号GY2-Q9-H1，演习关井成功。</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b w:val="0"/>
          <w:bCs w:val="0"/>
          <w:color w:val="auto"/>
          <w:sz w:val="28"/>
          <w:szCs w:val="28"/>
        </w:rPr>
      </w:pPr>
      <w:r>
        <w:rPr>
          <w:rFonts w:hint="eastAsia" w:cs="Times New Roman"/>
          <w:b w:val="0"/>
          <w:bCs w:val="0"/>
          <w:smallCaps w:val="0"/>
          <w:color w:val="auto"/>
          <w:sz w:val="28"/>
          <w:lang w:val="en-US" w:eastAsia="zh-CN"/>
        </w:rPr>
        <w:t>《斯伦贝谢油田技术（山东）有限公司生产安全事故应急预案》共包括1个综合应急预案，3个专项应急预案（火灾事故专项应急预案、特种设备事故专项预案、硫化氢泄露事故专项预案），4个现场处置方案（车辆伤害事故现场处置方案、起重伤害事故现场处置方案、中毒窒息现场处置方案、井喷现场处置方案），</w:t>
      </w:r>
      <w:r>
        <w:rPr>
          <w:rFonts w:hint="eastAsia" w:ascii="Times New Roman" w:hAnsi="Times New Roman" w:cs="Times New Roman"/>
          <w:b w:val="0"/>
          <w:bCs w:val="0"/>
          <w:smallCaps w:val="0"/>
          <w:color w:val="auto"/>
          <w:sz w:val="28"/>
          <w:lang w:val="en-US" w:eastAsia="zh-CN"/>
        </w:rPr>
        <w:t>依据《山东省生产安全事故应急办法》（省政府341号令）第十三条</w:t>
      </w:r>
      <w:r>
        <w:rPr>
          <w:rFonts w:hint="eastAsia" w:cs="Times New Roman"/>
          <w:b w:val="0"/>
          <w:bCs w:val="0"/>
          <w:smallCaps w:val="0"/>
          <w:color w:val="auto"/>
          <w:sz w:val="28"/>
          <w:lang w:val="en-US" w:eastAsia="zh-CN"/>
        </w:rPr>
        <w:t>：</w:t>
      </w:r>
      <w:r>
        <w:rPr>
          <w:rFonts w:hint="eastAsia" w:ascii="Times New Roman" w:hAnsi="Times New Roman" w:cs="Times New Roman"/>
          <w:b w:val="0"/>
          <w:bCs w:val="0"/>
          <w:smallCaps w:val="0"/>
          <w:color w:val="auto"/>
          <w:sz w:val="28"/>
          <w:lang w:val="en-US" w:eastAsia="zh-CN"/>
        </w:rPr>
        <w:t>高危和人员密集单位应当每半年至少组织1次综合或者专项应急预案演练，每2年对所有专项应急预案至少组织1次演练，每半年对所有现场处置方案至少组织1次演练，</w:t>
      </w:r>
      <w:r>
        <w:rPr>
          <w:rFonts w:hint="eastAsia" w:cs="Times New Roman"/>
          <w:b w:val="0"/>
          <w:bCs w:val="0"/>
          <w:smallCaps w:val="0"/>
          <w:color w:val="auto"/>
          <w:sz w:val="28"/>
          <w:lang w:val="en-US" w:eastAsia="zh-CN"/>
        </w:rPr>
        <w:t>斯伦贝谢油田技术（山东）有限公司</w:t>
      </w:r>
      <w:r>
        <w:rPr>
          <w:rFonts w:hint="eastAsia" w:ascii="Times New Roman" w:hAnsi="Times New Roman" w:cs="Times New Roman"/>
          <w:b w:val="0"/>
          <w:bCs w:val="0"/>
          <w:smallCaps w:val="0"/>
          <w:color w:val="auto"/>
          <w:sz w:val="28"/>
          <w:lang w:val="en-US" w:eastAsia="zh-CN"/>
        </w:rPr>
        <w:t>定期制定应急演练计划，定期组织应急演练并对演练效果进行评估，</w:t>
      </w:r>
      <w:r>
        <w:rPr>
          <w:rFonts w:ascii="Times New Roman" w:hAnsi="Times New Roman" w:cs="Times New Roman"/>
          <w:b w:val="0"/>
          <w:bCs w:val="0"/>
          <w:smallCaps w:val="0"/>
          <w:color w:val="auto"/>
          <w:sz w:val="28"/>
        </w:rPr>
        <w:t>并根据演练效果及时对应急救援预案进行修订。</w:t>
      </w:r>
      <w:r>
        <w:rPr>
          <w:rFonts w:hint="eastAsia" w:ascii="Times New Roman" w:hAnsi="Times New Roman" w:cs="Times New Roman"/>
          <w:b w:val="0"/>
          <w:bCs w:val="0"/>
          <w:smallCaps w:val="0"/>
          <w:color w:val="auto"/>
          <w:sz w:val="28"/>
          <w:lang w:val="en-US" w:eastAsia="zh-CN"/>
        </w:rPr>
        <w:t>经现场检查，企业应急演练频次符合要求</w:t>
      </w:r>
      <w:r>
        <w:rPr>
          <w:rFonts w:hint="eastAsia" w:cs="Times New Roman"/>
          <w:b w:val="0"/>
          <w:bCs w:val="0"/>
          <w:smallCaps w:val="0"/>
          <w:color w:val="auto"/>
          <w:sz w:val="28"/>
          <w:lang w:val="en-US" w:eastAsia="zh-CN"/>
        </w:rPr>
        <w:t>。</w:t>
      </w:r>
    </w:p>
    <w:p>
      <w:pPr>
        <w:pStyle w:val="6"/>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eastAsia="黑体"/>
          <w:b w:val="0"/>
          <w:snapToGrid w:val="0"/>
          <w:kern w:val="0"/>
          <w:sz w:val="28"/>
          <w:szCs w:val="28"/>
        </w:rPr>
      </w:pPr>
      <w:r>
        <w:rPr>
          <w:rFonts w:eastAsia="黑体"/>
          <w:b w:val="0"/>
          <w:snapToGrid w:val="0"/>
          <w:kern w:val="0"/>
          <w:sz w:val="28"/>
          <w:szCs w:val="28"/>
        </w:rPr>
        <w:t>2.1</w:t>
      </w:r>
      <w:r>
        <w:rPr>
          <w:rFonts w:hint="eastAsia" w:eastAsia="黑体"/>
          <w:b w:val="0"/>
          <w:snapToGrid w:val="0"/>
          <w:kern w:val="0"/>
          <w:sz w:val="28"/>
          <w:szCs w:val="28"/>
          <w:lang w:val="en-US" w:eastAsia="zh-CN"/>
        </w:rPr>
        <w:t>1</w:t>
      </w:r>
      <w:r>
        <w:rPr>
          <w:rFonts w:eastAsia="黑体"/>
          <w:b w:val="0"/>
          <w:snapToGrid w:val="0"/>
          <w:kern w:val="0"/>
          <w:sz w:val="28"/>
          <w:szCs w:val="28"/>
        </w:rPr>
        <w:t xml:space="preserve">.4 </w:t>
      </w:r>
      <w:r>
        <w:rPr>
          <w:rFonts w:hint="eastAsia" w:eastAsia="黑体"/>
          <w:b w:val="0"/>
          <w:snapToGrid w:val="0"/>
          <w:kern w:val="0"/>
          <w:sz w:val="28"/>
          <w:szCs w:val="28"/>
        </w:rPr>
        <w:t>事故应急救援器材、设备的配备情况</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该公司按照各岗位存在的危险、有害因素配备了相应的应急救援器材，其相关应急救援器材配备情况见下表</w:t>
      </w:r>
      <w:r>
        <w:rPr>
          <w:rFonts w:hint="eastAsia"/>
          <w:sz w:val="28"/>
          <w:szCs w:val="28"/>
          <w:lang w:eastAsia="zh-CN"/>
        </w:rPr>
        <w:t>：</w:t>
      </w:r>
    </w:p>
    <w:p>
      <w:pPr>
        <w:adjustRightInd w:val="0"/>
        <w:snapToGrid w:val="0"/>
        <w:spacing w:line="360" w:lineRule="auto"/>
        <w:jc w:val="center"/>
        <w:rPr>
          <w:rFonts w:hint="eastAsia"/>
          <w:b/>
          <w:bCs/>
          <w:color w:val="FF0000"/>
          <w:sz w:val="24"/>
          <w:szCs w:val="28"/>
        </w:rPr>
      </w:pPr>
      <w:r>
        <w:rPr>
          <w:rFonts w:hint="eastAsia"/>
          <w:b/>
          <w:bCs/>
          <w:color w:val="auto"/>
          <w:sz w:val="24"/>
          <w:szCs w:val="28"/>
        </w:rPr>
        <w:t>表</w:t>
      </w:r>
      <w:r>
        <w:rPr>
          <w:b/>
          <w:bCs/>
          <w:color w:val="auto"/>
          <w:sz w:val="24"/>
          <w:szCs w:val="28"/>
        </w:rPr>
        <w:t>2</w:t>
      </w:r>
      <w:r>
        <w:rPr>
          <w:rFonts w:hint="eastAsia"/>
          <w:b/>
          <w:bCs/>
          <w:color w:val="auto"/>
          <w:sz w:val="24"/>
          <w:szCs w:val="28"/>
          <w:lang w:val="en-US" w:eastAsia="zh-CN"/>
        </w:rPr>
        <w:t>.11</w:t>
      </w:r>
      <w:r>
        <w:rPr>
          <w:rFonts w:hint="eastAsia"/>
          <w:b/>
          <w:bCs/>
          <w:color w:val="auto"/>
          <w:sz w:val="24"/>
          <w:szCs w:val="28"/>
        </w:rPr>
        <w:t>-</w:t>
      </w:r>
      <w:r>
        <w:rPr>
          <w:rFonts w:hint="eastAsia"/>
          <w:b/>
          <w:bCs/>
          <w:color w:val="auto"/>
          <w:sz w:val="24"/>
          <w:szCs w:val="28"/>
          <w:lang w:val="en-US" w:eastAsia="zh-CN"/>
        </w:rPr>
        <w:t>3 公司消防器材</w:t>
      </w:r>
      <w:r>
        <w:rPr>
          <w:rFonts w:hint="eastAsia"/>
          <w:b/>
          <w:bCs/>
          <w:color w:val="auto"/>
          <w:sz w:val="24"/>
          <w:szCs w:val="28"/>
        </w:rPr>
        <w:t>配备情况一览表</w:t>
      </w:r>
    </w:p>
    <w:tbl>
      <w:tblPr>
        <w:tblStyle w:val="5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718"/>
        <w:gridCol w:w="830"/>
        <w:gridCol w:w="1009"/>
        <w:gridCol w:w="1734"/>
        <w:gridCol w:w="1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
                <w:bCs w:val="0"/>
                <w:spacing w:val="20"/>
                <w:sz w:val="21"/>
                <w:szCs w:val="21"/>
              </w:rPr>
            </w:pPr>
            <w:r>
              <w:rPr>
                <w:rFonts w:hint="default" w:ascii="Times New Roman" w:hAnsi="Times New Roman" w:cs="Times New Roman"/>
                <w:b/>
                <w:bCs w:val="0"/>
                <w:spacing w:val="20"/>
                <w:sz w:val="21"/>
                <w:szCs w:val="21"/>
              </w:rPr>
              <w:t>区域</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
                <w:bCs w:val="0"/>
                <w:spacing w:val="20"/>
                <w:sz w:val="21"/>
                <w:szCs w:val="21"/>
              </w:rPr>
            </w:pPr>
            <w:r>
              <w:rPr>
                <w:rFonts w:hint="default" w:ascii="Times New Roman" w:hAnsi="Times New Roman" w:cs="Times New Roman"/>
                <w:b/>
                <w:bCs w:val="0"/>
                <w:spacing w:val="20"/>
                <w:sz w:val="21"/>
                <w:szCs w:val="21"/>
              </w:rPr>
              <w:t>类型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
                <w:bCs w:val="0"/>
                <w:spacing w:val="20"/>
                <w:sz w:val="21"/>
                <w:szCs w:val="21"/>
              </w:rPr>
            </w:pPr>
            <w:r>
              <w:rPr>
                <w:rFonts w:hint="default" w:ascii="Times New Roman" w:hAnsi="Times New Roman" w:cs="Times New Roman"/>
                <w:b/>
                <w:bCs w:val="0"/>
                <w:spacing w:val="20"/>
                <w:sz w:val="21"/>
                <w:szCs w:val="21"/>
              </w:rPr>
              <w:t>重量</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
                <w:bCs w:val="0"/>
                <w:spacing w:val="20"/>
                <w:sz w:val="21"/>
                <w:szCs w:val="21"/>
              </w:rPr>
            </w:pPr>
            <w:r>
              <w:rPr>
                <w:rFonts w:hint="default" w:ascii="Times New Roman" w:hAnsi="Times New Roman" w:cs="Times New Roman"/>
                <w:b/>
                <w:bCs w:val="0"/>
                <w:spacing w:val="20"/>
                <w:sz w:val="21"/>
                <w:szCs w:val="21"/>
              </w:rPr>
              <w:t>数量</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
                <w:bCs w:val="0"/>
                <w:spacing w:val="20"/>
                <w:sz w:val="21"/>
                <w:szCs w:val="21"/>
              </w:rPr>
            </w:pPr>
            <w:r>
              <w:rPr>
                <w:rFonts w:hint="default" w:ascii="Times New Roman" w:hAnsi="Times New Roman" w:cs="Times New Roman"/>
                <w:b/>
                <w:bCs w:val="0"/>
                <w:spacing w:val="20"/>
                <w:sz w:val="21"/>
                <w:szCs w:val="21"/>
              </w:rPr>
              <w:t>归口部门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
                <w:bCs w:val="0"/>
                <w:spacing w:val="20"/>
                <w:sz w:val="21"/>
                <w:szCs w:val="21"/>
                <w:lang w:val="en-US" w:eastAsia="zh-CN"/>
              </w:rPr>
            </w:pPr>
            <w:r>
              <w:rPr>
                <w:rFonts w:hint="eastAsia" w:ascii="Times New Roman" w:hAnsi="Times New Roman" w:cs="Times New Roman"/>
                <w:b/>
                <w:bCs w:val="0"/>
                <w:spacing w:val="2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7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办公楼</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室内消防栓</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eastAsia" w:cs="Times New Roman"/>
                <w:bCs/>
                <w:spacing w:val="20"/>
                <w:sz w:val="21"/>
                <w:szCs w:val="21"/>
                <w:lang w:val="en-US" w:eastAsia="zh-CN"/>
              </w:rPr>
              <w:t>--</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13</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eastAsia="zh-CN"/>
              </w:rPr>
              <w:t>行政</w:t>
            </w:r>
            <w:r>
              <w:rPr>
                <w:rFonts w:hint="default" w:ascii="Times New Roman" w:hAnsi="Times New Roman" w:cs="Times New Roman"/>
                <w:bCs/>
                <w:spacing w:val="20"/>
                <w:sz w:val="21"/>
                <w:szCs w:val="21"/>
              </w:rPr>
              <w:t>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MFZ/ABC4型</w:t>
            </w:r>
          </w:p>
        </w:tc>
        <w:tc>
          <w:tcPr>
            <w:tcW w:w="48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4</w:t>
            </w:r>
            <w:r>
              <w:rPr>
                <w:rFonts w:hint="eastAsia" w:ascii="Times New Roman" w:hAnsi="Times New Roman" w:cs="Times New Roman"/>
                <w:bCs/>
                <w:spacing w:val="20"/>
                <w:sz w:val="21"/>
                <w:szCs w:val="21"/>
                <w:lang w:val="en-US"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6</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仪器制造部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6</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行政部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2</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作业部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2</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市场部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2</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销售部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2</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财务部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4</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人事部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4</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采购部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48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2</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行政</w:t>
            </w:r>
            <w:r>
              <w:rPr>
                <w:rFonts w:hint="default" w:ascii="Times New Roman" w:hAnsi="Times New Roman" w:cs="Times New Roman"/>
                <w:bCs/>
                <w:spacing w:val="20"/>
                <w:sz w:val="21"/>
                <w:szCs w:val="21"/>
              </w:rPr>
              <w:t>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eastAsia" w:cs="Times New Roman"/>
                <w:bCs/>
                <w:spacing w:val="20"/>
                <w:sz w:val="21"/>
                <w:szCs w:val="21"/>
                <w:lang w:val="en-US" w:eastAsia="zh-CN"/>
              </w:rPr>
              <w:t>4</w:t>
            </w:r>
            <w:r>
              <w:rPr>
                <w:rFonts w:hint="eastAsia" w:ascii="Times New Roman" w:hAnsi="Times New Roman" w:cs="Times New Roman"/>
                <w:bCs/>
                <w:spacing w:val="20"/>
                <w:sz w:val="21"/>
                <w:szCs w:val="21"/>
                <w:lang w:val="en-US"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8</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科研</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机加工车间</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4</w:t>
            </w:r>
            <w:r>
              <w:rPr>
                <w:rFonts w:hint="eastAsia" w:ascii="Times New Roman" w:hAnsi="Times New Roman" w:cs="Times New Roman"/>
                <w:bCs/>
                <w:spacing w:val="20"/>
                <w:sz w:val="21"/>
                <w:szCs w:val="21"/>
                <w:lang w:val="en-US"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15</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仪器制造部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维修车间</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4</w:t>
            </w:r>
            <w:r>
              <w:rPr>
                <w:rFonts w:hint="eastAsia" w:ascii="Times New Roman" w:hAnsi="Times New Roman" w:cs="Times New Roman"/>
                <w:bCs/>
                <w:spacing w:val="20"/>
                <w:sz w:val="21"/>
                <w:szCs w:val="21"/>
                <w:lang w:val="en-US"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30</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作业部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宿舍楼</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sz w:val="21"/>
                <w:szCs w:val="21"/>
                <w:lang w:eastAsia="zh-CN"/>
              </w:rPr>
            </w:pPr>
            <w:r>
              <w:rPr>
                <w:rFonts w:hint="default" w:ascii="Times New Roman" w:hAnsi="Times New Roman" w:cs="Times New Roman"/>
                <w:bCs/>
                <w:spacing w:val="20"/>
                <w:sz w:val="21"/>
                <w:szCs w:val="21"/>
              </w:rPr>
              <w:t>4</w:t>
            </w:r>
            <w:r>
              <w:rPr>
                <w:rFonts w:hint="eastAsia" w:ascii="Times New Roman" w:hAnsi="Times New Roman" w:cs="Times New Roman"/>
                <w:bCs/>
                <w:spacing w:val="20"/>
                <w:sz w:val="21"/>
                <w:szCs w:val="21"/>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20</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行政部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无磁校验室</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sz w:val="21"/>
                <w:szCs w:val="21"/>
                <w:lang w:eastAsia="zh-CN"/>
              </w:rPr>
            </w:pPr>
            <w:r>
              <w:rPr>
                <w:rFonts w:hint="default" w:ascii="Times New Roman" w:hAnsi="Times New Roman" w:cs="Times New Roman"/>
                <w:bCs/>
                <w:spacing w:val="20"/>
                <w:sz w:val="21"/>
                <w:szCs w:val="21"/>
              </w:rPr>
              <w:t>4</w:t>
            </w:r>
            <w:r>
              <w:rPr>
                <w:rFonts w:hint="eastAsia" w:ascii="Times New Roman" w:hAnsi="Times New Roman" w:cs="Times New Roman"/>
                <w:bCs/>
                <w:spacing w:val="20"/>
                <w:sz w:val="21"/>
                <w:szCs w:val="21"/>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2</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仪器制造部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冀东项目部</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sz w:val="21"/>
                <w:szCs w:val="21"/>
                <w:highlight w:val="none"/>
                <w:lang w:eastAsia="zh-CN"/>
              </w:rPr>
            </w:pPr>
            <w:r>
              <w:rPr>
                <w:rFonts w:hint="eastAsia" w:cs="Times New Roman"/>
                <w:bCs/>
                <w:spacing w:val="20"/>
                <w:sz w:val="21"/>
                <w:szCs w:val="21"/>
                <w:highlight w:val="none"/>
                <w:lang w:val="en-US" w:eastAsia="zh-CN"/>
              </w:rPr>
              <w:t>4</w:t>
            </w:r>
            <w:r>
              <w:rPr>
                <w:rFonts w:hint="eastAsia" w:ascii="Times New Roman" w:hAnsi="Times New Roman" w:cs="Times New Roman"/>
                <w:bCs/>
                <w:spacing w:val="20"/>
                <w:sz w:val="21"/>
                <w:szCs w:val="21"/>
                <w:highlight w:val="none"/>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eastAsia" w:ascii="Times New Roman" w:hAnsi="Times New Roman" w:cs="Times New Roman"/>
                <w:bCs/>
                <w:spacing w:val="20"/>
                <w:sz w:val="21"/>
                <w:szCs w:val="21"/>
                <w:lang w:val="en-US" w:eastAsia="zh-CN"/>
              </w:rPr>
              <w:t>12</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冀东项目部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西南项目部</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kern w:val="2"/>
                <w:sz w:val="21"/>
                <w:szCs w:val="21"/>
                <w:highlight w:val="none"/>
                <w:lang w:val="en-US" w:eastAsia="zh-CN" w:bidi="ar-SA"/>
              </w:rPr>
            </w:pPr>
            <w:r>
              <w:rPr>
                <w:rFonts w:hint="eastAsia" w:cs="Times New Roman"/>
                <w:bCs/>
                <w:spacing w:val="20"/>
                <w:sz w:val="21"/>
                <w:szCs w:val="21"/>
                <w:highlight w:val="none"/>
                <w:lang w:val="en-US" w:eastAsia="zh-CN"/>
              </w:rPr>
              <w:t>4</w:t>
            </w:r>
            <w:r>
              <w:rPr>
                <w:rFonts w:hint="eastAsia" w:ascii="Times New Roman" w:hAnsi="Times New Roman" w:cs="Times New Roman"/>
                <w:bCs/>
                <w:spacing w:val="20"/>
                <w:sz w:val="21"/>
                <w:szCs w:val="21"/>
                <w:highlight w:val="none"/>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6</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西南项目部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长庆</w:t>
            </w:r>
            <w:r>
              <w:rPr>
                <w:rFonts w:hint="default" w:ascii="Times New Roman" w:hAnsi="Times New Roman" w:cs="Times New Roman"/>
                <w:bCs/>
                <w:spacing w:val="20"/>
                <w:sz w:val="21"/>
                <w:szCs w:val="21"/>
              </w:rPr>
              <w:t>项目部</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kern w:val="2"/>
                <w:sz w:val="21"/>
                <w:szCs w:val="21"/>
                <w:highlight w:val="none"/>
                <w:lang w:val="en-US" w:eastAsia="zh-CN" w:bidi="ar-SA"/>
              </w:rPr>
            </w:pPr>
            <w:r>
              <w:rPr>
                <w:rFonts w:hint="eastAsia" w:cs="Times New Roman"/>
                <w:bCs/>
                <w:spacing w:val="20"/>
                <w:sz w:val="21"/>
                <w:szCs w:val="21"/>
                <w:highlight w:val="none"/>
                <w:lang w:val="en-US" w:eastAsia="zh-CN"/>
              </w:rPr>
              <w:t>4</w:t>
            </w:r>
            <w:r>
              <w:rPr>
                <w:rFonts w:hint="eastAsia" w:ascii="Times New Roman" w:hAnsi="Times New Roman" w:cs="Times New Roman"/>
                <w:bCs/>
                <w:spacing w:val="20"/>
                <w:sz w:val="21"/>
                <w:szCs w:val="21"/>
                <w:highlight w:val="none"/>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6</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长庆</w:t>
            </w:r>
            <w:r>
              <w:rPr>
                <w:rFonts w:hint="default" w:ascii="Times New Roman" w:hAnsi="Times New Roman" w:cs="Times New Roman"/>
                <w:bCs/>
                <w:spacing w:val="20"/>
                <w:sz w:val="21"/>
                <w:szCs w:val="21"/>
              </w:rPr>
              <w:t>项目部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eastAsia="zh-CN"/>
              </w:rPr>
              <w:t>大庆</w:t>
            </w:r>
            <w:r>
              <w:rPr>
                <w:rFonts w:hint="default" w:ascii="Times New Roman" w:hAnsi="Times New Roman" w:cs="Times New Roman"/>
                <w:bCs/>
                <w:spacing w:val="20"/>
                <w:sz w:val="21"/>
                <w:szCs w:val="21"/>
              </w:rPr>
              <w:t>项目部</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sz w:val="21"/>
                <w:szCs w:val="21"/>
                <w:highlight w:val="none"/>
                <w:lang w:eastAsia="zh-CN"/>
              </w:rPr>
            </w:pPr>
            <w:r>
              <w:rPr>
                <w:rFonts w:hint="eastAsia" w:cs="Times New Roman"/>
                <w:bCs/>
                <w:spacing w:val="20"/>
                <w:sz w:val="21"/>
                <w:szCs w:val="21"/>
                <w:highlight w:val="none"/>
                <w:lang w:val="en-US" w:eastAsia="zh-CN"/>
              </w:rPr>
              <w:t>4</w:t>
            </w:r>
            <w:r>
              <w:rPr>
                <w:rFonts w:hint="eastAsia" w:ascii="Times New Roman" w:hAnsi="Times New Roman" w:cs="Times New Roman"/>
                <w:bCs/>
                <w:spacing w:val="20"/>
                <w:sz w:val="21"/>
                <w:szCs w:val="21"/>
                <w:highlight w:val="none"/>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6</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eastAsia="zh-CN"/>
              </w:rPr>
              <w:t>大庆</w:t>
            </w:r>
            <w:r>
              <w:rPr>
                <w:rFonts w:hint="default" w:ascii="Times New Roman" w:hAnsi="Times New Roman" w:cs="Times New Roman"/>
                <w:bCs/>
                <w:spacing w:val="20"/>
                <w:sz w:val="21"/>
                <w:szCs w:val="21"/>
              </w:rPr>
              <w:t>项目部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吐哈项目部</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kern w:val="2"/>
                <w:sz w:val="21"/>
                <w:szCs w:val="21"/>
                <w:highlight w:val="none"/>
                <w:lang w:val="en-US" w:eastAsia="zh-CN" w:bidi="ar-SA"/>
              </w:rPr>
            </w:pPr>
            <w:r>
              <w:rPr>
                <w:rFonts w:hint="eastAsia" w:cs="Times New Roman"/>
                <w:bCs/>
                <w:spacing w:val="20"/>
                <w:sz w:val="21"/>
                <w:szCs w:val="21"/>
                <w:highlight w:val="none"/>
                <w:lang w:val="en-US" w:eastAsia="zh-CN"/>
              </w:rPr>
              <w:t>4</w:t>
            </w:r>
            <w:r>
              <w:rPr>
                <w:rFonts w:hint="eastAsia" w:ascii="Times New Roman" w:hAnsi="Times New Roman" w:cs="Times New Roman"/>
                <w:bCs/>
                <w:spacing w:val="20"/>
                <w:sz w:val="21"/>
                <w:szCs w:val="21"/>
                <w:highlight w:val="none"/>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6</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吐哈项目部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default" w:ascii="Times New Roman" w:hAnsi="Times New Roman" w:cs="Times New Roman"/>
                <w:bCs/>
                <w:spacing w:val="20"/>
                <w:sz w:val="21"/>
                <w:szCs w:val="21"/>
                <w:lang w:val="en-US" w:eastAsia="zh-CN"/>
              </w:rPr>
              <w:t>西北局项目部</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kern w:val="2"/>
                <w:sz w:val="21"/>
                <w:szCs w:val="21"/>
                <w:highlight w:val="none"/>
                <w:lang w:val="en-US" w:eastAsia="zh-CN" w:bidi="ar-SA"/>
              </w:rPr>
            </w:pPr>
            <w:r>
              <w:rPr>
                <w:rFonts w:hint="eastAsia" w:cs="Times New Roman"/>
                <w:bCs/>
                <w:spacing w:val="20"/>
                <w:sz w:val="21"/>
                <w:szCs w:val="21"/>
                <w:highlight w:val="none"/>
                <w:lang w:val="en-US" w:eastAsia="zh-CN"/>
              </w:rPr>
              <w:t>4</w:t>
            </w:r>
            <w:r>
              <w:rPr>
                <w:rFonts w:hint="eastAsia" w:ascii="Times New Roman" w:hAnsi="Times New Roman" w:cs="Times New Roman"/>
                <w:bCs/>
                <w:spacing w:val="20"/>
                <w:sz w:val="21"/>
                <w:szCs w:val="21"/>
                <w:highlight w:val="none"/>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12</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西北局项目部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default" w:ascii="Times New Roman" w:hAnsi="Times New Roman" w:cs="Times New Roman"/>
                <w:bCs/>
                <w:spacing w:val="20"/>
                <w:sz w:val="21"/>
                <w:szCs w:val="21"/>
                <w:lang w:val="en-US" w:eastAsia="zh-CN"/>
              </w:rPr>
              <w:t>青海项目部</w:t>
            </w:r>
          </w:p>
        </w:tc>
        <w:tc>
          <w:tcPr>
            <w:tcW w:w="100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MFZ/ABC4型</w:t>
            </w:r>
          </w:p>
        </w:tc>
        <w:tc>
          <w:tcPr>
            <w:tcW w:w="48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eastAsia" w:ascii="Times New Roman" w:hAnsi="Times New Roman" w:eastAsia="宋体" w:cs="Times New Roman"/>
                <w:bCs/>
                <w:spacing w:val="20"/>
                <w:kern w:val="2"/>
                <w:sz w:val="21"/>
                <w:szCs w:val="21"/>
                <w:highlight w:val="none"/>
                <w:lang w:val="en-US" w:eastAsia="zh-CN" w:bidi="ar-SA"/>
              </w:rPr>
            </w:pPr>
            <w:r>
              <w:rPr>
                <w:rFonts w:hint="eastAsia" w:cs="Times New Roman"/>
                <w:bCs/>
                <w:spacing w:val="20"/>
                <w:sz w:val="21"/>
                <w:szCs w:val="21"/>
                <w:highlight w:val="none"/>
                <w:lang w:val="en-US" w:eastAsia="zh-CN"/>
              </w:rPr>
              <w:t>4</w:t>
            </w:r>
            <w:r>
              <w:rPr>
                <w:rFonts w:hint="eastAsia" w:ascii="Times New Roman" w:hAnsi="Times New Roman" w:cs="Times New Roman"/>
                <w:bCs/>
                <w:spacing w:val="20"/>
                <w:sz w:val="21"/>
                <w:szCs w:val="21"/>
                <w:highlight w:val="none"/>
                <w:lang w:eastAsia="zh-CN"/>
              </w:rPr>
              <w:t>kg</w:t>
            </w:r>
          </w:p>
        </w:tc>
        <w:tc>
          <w:tcPr>
            <w:tcW w:w="59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6</w:t>
            </w:r>
          </w:p>
        </w:tc>
        <w:tc>
          <w:tcPr>
            <w:tcW w:w="101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青海项目部</w:t>
            </w:r>
          </w:p>
        </w:tc>
        <w:tc>
          <w:tcPr>
            <w:tcW w:w="10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79" w:beforeLines="25" w:beforeAutospacing="0" w:after="79" w:afterLines="25" w:afterAutospacing="0" w:line="240" w:lineRule="atLeast"/>
              <w:ind w:left="0" w:right="0"/>
              <w:jc w:val="center"/>
              <w:textAlignment w:val="auto"/>
              <w:rPr>
                <w:rFonts w:hint="default" w:ascii="Times New Roman" w:hAnsi="Times New Roman" w:cs="Times New Roman"/>
                <w:bCs/>
                <w:spacing w:val="20"/>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b/>
          <w:bCs/>
          <w:sz w:val="24"/>
          <w:szCs w:val="28"/>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b/>
          <w:bCs/>
          <w:sz w:val="24"/>
          <w:szCs w:val="28"/>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b/>
          <w:bCs/>
          <w:sz w:val="24"/>
          <w:szCs w:val="28"/>
        </w:rPr>
      </w:pPr>
      <w:r>
        <w:rPr>
          <w:rFonts w:hint="eastAsia"/>
          <w:b/>
          <w:bCs/>
          <w:sz w:val="24"/>
          <w:szCs w:val="28"/>
        </w:rPr>
        <w:t>表2</w:t>
      </w:r>
      <w:r>
        <w:rPr>
          <w:rFonts w:hint="eastAsia"/>
          <w:b/>
          <w:bCs/>
          <w:sz w:val="24"/>
          <w:szCs w:val="28"/>
          <w:lang w:val="en-US" w:eastAsia="zh-CN"/>
        </w:rPr>
        <w:t>.11</w:t>
      </w:r>
      <w:r>
        <w:rPr>
          <w:rFonts w:hint="eastAsia"/>
          <w:b/>
          <w:bCs/>
          <w:sz w:val="24"/>
          <w:szCs w:val="28"/>
        </w:rPr>
        <w:t>-</w:t>
      </w:r>
      <w:r>
        <w:rPr>
          <w:rFonts w:hint="eastAsia"/>
          <w:b/>
          <w:bCs/>
          <w:sz w:val="24"/>
          <w:szCs w:val="28"/>
          <w:lang w:val="en-US" w:eastAsia="zh-CN"/>
        </w:rPr>
        <w:t>4</w:t>
      </w:r>
      <w:r>
        <w:rPr>
          <w:rFonts w:hint="eastAsia"/>
          <w:b/>
          <w:bCs/>
          <w:sz w:val="24"/>
          <w:szCs w:val="28"/>
        </w:rPr>
        <w:t xml:space="preserve"> </w:t>
      </w:r>
      <w:r>
        <w:rPr>
          <w:rFonts w:hint="eastAsia"/>
          <w:b/>
          <w:bCs/>
          <w:sz w:val="24"/>
          <w:szCs w:val="28"/>
          <w:lang w:val="en-US" w:eastAsia="zh-CN"/>
        </w:rPr>
        <w:t>应急救援设施</w:t>
      </w:r>
      <w:r>
        <w:rPr>
          <w:rFonts w:hint="eastAsia"/>
          <w:b/>
          <w:bCs/>
          <w:sz w:val="24"/>
          <w:szCs w:val="28"/>
        </w:rPr>
        <w:t>清单</w:t>
      </w:r>
    </w:p>
    <w:tbl>
      <w:tblPr>
        <w:tblStyle w:val="5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2569"/>
        <w:gridCol w:w="931"/>
        <w:gridCol w:w="2247"/>
        <w:gridCol w:w="15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4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
                <w:bCs w:val="0"/>
                <w:spacing w:val="20"/>
                <w:sz w:val="21"/>
                <w:szCs w:val="21"/>
              </w:rPr>
            </w:pPr>
            <w:r>
              <w:rPr>
                <w:rFonts w:hint="default" w:ascii="Times New Roman" w:hAnsi="Times New Roman" w:cs="Times New Roman"/>
                <w:b/>
                <w:bCs w:val="0"/>
                <w:spacing w:val="20"/>
                <w:sz w:val="21"/>
                <w:szCs w:val="21"/>
              </w:rPr>
              <w:t>区域</w:t>
            </w: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
                <w:bCs w:val="0"/>
                <w:spacing w:val="20"/>
                <w:sz w:val="21"/>
                <w:szCs w:val="21"/>
                <w:lang w:val="en-US" w:eastAsia="zh-CN"/>
              </w:rPr>
            </w:pPr>
            <w:r>
              <w:rPr>
                <w:rFonts w:hint="default" w:ascii="Times New Roman" w:hAnsi="Times New Roman" w:cs="Times New Roman"/>
                <w:b/>
                <w:bCs w:val="0"/>
                <w:spacing w:val="20"/>
                <w:sz w:val="21"/>
                <w:szCs w:val="21"/>
                <w:lang w:val="en-US" w:eastAsia="zh-CN"/>
              </w:rPr>
              <w:t>物资名称</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
                <w:bCs w:val="0"/>
                <w:spacing w:val="20"/>
                <w:sz w:val="21"/>
                <w:szCs w:val="21"/>
              </w:rPr>
            </w:pPr>
            <w:r>
              <w:rPr>
                <w:rFonts w:hint="default" w:ascii="Times New Roman" w:hAnsi="Times New Roman" w:cs="Times New Roman"/>
                <w:b/>
                <w:bCs w:val="0"/>
                <w:spacing w:val="20"/>
                <w:sz w:val="21"/>
                <w:szCs w:val="21"/>
              </w:rPr>
              <w:t>数量</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
                <w:bCs w:val="0"/>
                <w:spacing w:val="20"/>
                <w:sz w:val="21"/>
                <w:szCs w:val="21"/>
              </w:rPr>
            </w:pPr>
            <w:r>
              <w:rPr>
                <w:rFonts w:hint="default" w:ascii="Times New Roman" w:hAnsi="Times New Roman" w:cs="Times New Roman"/>
                <w:b/>
                <w:bCs w:val="0"/>
                <w:spacing w:val="20"/>
                <w:sz w:val="21"/>
                <w:szCs w:val="21"/>
              </w:rPr>
              <w:t>归口部门</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Times New Roman" w:hAnsi="Times New Roman" w:eastAsia="宋体" w:cs="Times New Roman"/>
                <w:b/>
                <w:bCs w:val="0"/>
                <w:spacing w:val="20"/>
                <w:sz w:val="21"/>
                <w:szCs w:val="21"/>
                <w:lang w:val="en-US" w:eastAsia="zh-CN"/>
              </w:rPr>
            </w:pPr>
            <w:r>
              <w:rPr>
                <w:rFonts w:hint="eastAsia" w:cs="Times New Roman"/>
                <w:b/>
                <w:bCs w:val="0"/>
                <w:spacing w:val="20"/>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公司基地</w:t>
            </w:r>
          </w:p>
        </w:tc>
        <w:tc>
          <w:tcPr>
            <w:tcW w:w="150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小药</w:t>
            </w:r>
            <w:r>
              <w:rPr>
                <w:rFonts w:hint="default" w:ascii="Times New Roman" w:hAnsi="Times New Roman" w:cs="Times New Roman"/>
                <w:b w:val="0"/>
                <w:bCs/>
                <w:spacing w:val="20"/>
                <w:sz w:val="21"/>
                <w:szCs w:val="21"/>
              </w:rPr>
              <w:t>箱</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8</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行政部</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1</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仪器制造部</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1</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作业部</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eastAsia="宋体" w:cs="Times New Roman"/>
                <w:bCs/>
                <w:color w:val="auto"/>
                <w:spacing w:val="20"/>
                <w:sz w:val="21"/>
                <w:szCs w:val="21"/>
              </w:rPr>
              <w:t>AED急</w:t>
            </w:r>
            <w:r>
              <w:rPr>
                <w:rFonts w:hint="default" w:ascii="Times New Roman" w:hAnsi="Times New Roman" w:eastAsia="宋体" w:cs="Times New Roman"/>
                <w:bCs/>
                <w:spacing w:val="20"/>
                <w:sz w:val="21"/>
                <w:szCs w:val="21"/>
              </w:rPr>
              <w:t>救站</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default" w:ascii="Times New Roman" w:hAnsi="Times New Roman" w:cs="Times New Roman"/>
                <w:bCs/>
                <w:spacing w:val="20"/>
                <w:sz w:val="21"/>
                <w:szCs w:val="21"/>
                <w:lang w:val="en-US" w:eastAsia="zh-CN"/>
              </w:rPr>
              <w:t>1</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default" w:ascii="Times New Roman" w:hAnsi="Times New Roman" w:cs="Times New Roman"/>
                <w:bCs/>
                <w:spacing w:val="20"/>
                <w:sz w:val="21"/>
                <w:szCs w:val="21"/>
                <w:lang w:val="en-US" w:eastAsia="zh-CN"/>
              </w:rPr>
              <w:t>安全部</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 w:val="0"/>
                <w:bCs/>
                <w:spacing w:val="20"/>
                <w:sz w:val="21"/>
                <w:szCs w:val="21"/>
                <w:lang w:val="en-US" w:eastAsia="zh-CN"/>
              </w:rPr>
            </w:pPr>
            <w:r>
              <w:rPr>
                <w:rFonts w:hint="default" w:ascii="Times New Roman" w:hAnsi="Times New Roman" w:eastAsia="宋体" w:cs="Times New Roman"/>
                <w:b w:val="0"/>
                <w:bCs/>
                <w:spacing w:val="20"/>
                <w:sz w:val="21"/>
                <w:szCs w:val="21"/>
                <w:lang w:val="en-US" w:eastAsia="zh-CN"/>
              </w:rPr>
              <w:t>消防栓</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default" w:ascii="Times New Roman" w:hAnsi="Times New Roman" w:cs="Times New Roman"/>
                <w:bCs/>
                <w:spacing w:val="20"/>
                <w:sz w:val="21"/>
                <w:szCs w:val="21"/>
                <w:lang w:val="en-US" w:eastAsia="zh-CN"/>
              </w:rPr>
              <w:t>13</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default" w:ascii="Times New Roman" w:hAnsi="Times New Roman" w:cs="Times New Roman"/>
                <w:bCs/>
                <w:spacing w:val="20"/>
                <w:sz w:val="21"/>
                <w:szCs w:val="21"/>
                <w:lang w:val="en-US" w:eastAsia="zh-CN"/>
              </w:rPr>
              <w:t>办公楼</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 w:val="0"/>
                <w:bCs/>
                <w:spacing w:val="20"/>
                <w:sz w:val="21"/>
                <w:szCs w:val="21"/>
                <w:lang w:val="en-US" w:eastAsia="zh-CN"/>
              </w:rPr>
            </w:pPr>
            <w:r>
              <w:rPr>
                <w:rFonts w:hint="eastAsia" w:cs="Times New Roman"/>
                <w:b w:val="0"/>
                <w:bCs/>
                <w:spacing w:val="20"/>
                <w:sz w:val="21"/>
                <w:szCs w:val="21"/>
                <w:lang w:val="en-US" w:eastAsia="zh-CN"/>
              </w:rPr>
              <w:t>正压式空气呼吸器</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eastAsia" w:cs="Times New Roman"/>
                <w:bCs/>
                <w:spacing w:val="20"/>
                <w:sz w:val="21"/>
                <w:szCs w:val="21"/>
                <w:lang w:val="en-US" w:eastAsia="zh-CN"/>
              </w:rPr>
              <w:t>4</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eastAsia" w:cs="Times New Roman"/>
                <w:bCs/>
                <w:spacing w:val="20"/>
                <w:sz w:val="21"/>
                <w:szCs w:val="21"/>
                <w:lang w:val="en-US" w:eastAsia="zh-CN"/>
              </w:rPr>
              <w:t>库房</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 w:val="0"/>
                <w:bCs/>
                <w:spacing w:val="20"/>
                <w:sz w:val="21"/>
                <w:szCs w:val="21"/>
                <w:lang w:val="en-US" w:eastAsia="zh-CN"/>
              </w:rPr>
            </w:pPr>
            <w:r>
              <w:rPr>
                <w:rFonts w:hint="default" w:ascii="Times New Roman" w:hAnsi="Times New Roman" w:cs="Times New Roman"/>
                <w:bCs/>
                <w:spacing w:val="20"/>
                <w:sz w:val="21"/>
                <w:szCs w:val="21"/>
              </w:rPr>
              <w:t>便携式硫化氢测试仪</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eastAsia" w:cs="Times New Roman"/>
                <w:bCs/>
                <w:spacing w:val="20"/>
                <w:sz w:val="21"/>
                <w:szCs w:val="21"/>
                <w:lang w:val="en-US" w:eastAsia="zh-CN"/>
              </w:rPr>
              <w:t>5</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eastAsia" w:cs="Times New Roman"/>
                <w:bCs/>
                <w:spacing w:val="20"/>
                <w:sz w:val="21"/>
                <w:szCs w:val="21"/>
                <w:lang w:val="en-US" w:eastAsia="zh-CN"/>
              </w:rPr>
              <w:t>库房</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 w:val="0"/>
                <w:bCs/>
                <w:spacing w:val="20"/>
                <w:sz w:val="21"/>
                <w:szCs w:val="21"/>
                <w:lang w:val="en-US" w:eastAsia="zh-CN"/>
              </w:rPr>
            </w:pPr>
            <w:r>
              <w:rPr>
                <w:rFonts w:hint="default" w:ascii="Times New Roman" w:hAnsi="Times New Roman" w:eastAsia="宋体" w:cs="Times New Roman"/>
                <w:b w:val="0"/>
                <w:bCs/>
                <w:spacing w:val="20"/>
                <w:sz w:val="21"/>
                <w:szCs w:val="21"/>
                <w:lang w:val="en-US" w:eastAsia="zh-CN"/>
              </w:rPr>
              <w:t>消防栓</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default" w:ascii="Times New Roman" w:hAnsi="Times New Roman" w:cs="Times New Roman"/>
                <w:bCs/>
                <w:spacing w:val="20"/>
                <w:sz w:val="21"/>
                <w:szCs w:val="21"/>
                <w:lang w:val="en-US" w:eastAsia="zh-CN"/>
              </w:rPr>
              <w:t>3</w:t>
            </w:r>
          </w:p>
        </w:tc>
        <w:tc>
          <w:tcPr>
            <w:tcW w:w="13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lang w:val="en-US" w:eastAsia="zh-CN"/>
              </w:rPr>
            </w:pPr>
            <w:r>
              <w:rPr>
                <w:rFonts w:hint="default" w:ascii="Times New Roman" w:hAnsi="Times New Roman" w:cs="Times New Roman"/>
                <w:bCs/>
                <w:spacing w:val="20"/>
                <w:sz w:val="21"/>
                <w:szCs w:val="21"/>
                <w:lang w:val="en-US" w:eastAsia="zh-CN"/>
              </w:rPr>
              <w:t>场院</w:t>
            </w:r>
          </w:p>
        </w:tc>
        <w:tc>
          <w:tcPr>
            <w:tcW w:w="88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冀东项目部</w:t>
            </w: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小药箱</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Times New Roman" w:hAnsi="Times New Roman" w:eastAsia="宋体" w:cs="Times New Roman"/>
                <w:bCs/>
                <w:spacing w:val="20"/>
                <w:sz w:val="21"/>
                <w:szCs w:val="21"/>
                <w:lang w:eastAsia="zh-CN"/>
              </w:rPr>
            </w:pPr>
            <w:r>
              <w:rPr>
                <w:rFonts w:hint="eastAsia" w:cs="Times New Roman"/>
                <w:bCs/>
                <w:spacing w:val="20"/>
                <w:sz w:val="21"/>
                <w:szCs w:val="21"/>
                <w:lang w:val="en-US" w:eastAsia="zh-CN"/>
              </w:rPr>
              <w:t>4</w:t>
            </w:r>
          </w:p>
        </w:tc>
        <w:tc>
          <w:tcPr>
            <w:tcW w:w="131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冀东项目部</w:t>
            </w:r>
          </w:p>
        </w:tc>
        <w:tc>
          <w:tcPr>
            <w:tcW w:w="8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eastAsia="宋体" w:cs="Times New Roman"/>
                <w:bCs/>
                <w:spacing w:val="20"/>
                <w:sz w:val="21"/>
                <w:szCs w:val="21"/>
                <w:lang w:val="en-US" w:eastAsia="zh-CN"/>
              </w:rPr>
            </w:pPr>
            <w:r>
              <w:rPr>
                <w:rFonts w:hint="eastAsia" w:cs="Times New Roman"/>
                <w:bCs/>
                <w:spacing w:val="20"/>
                <w:kern w:val="2"/>
                <w:sz w:val="21"/>
                <w:szCs w:val="21"/>
                <w:lang w:val="en-US" w:eastAsia="zh-CN" w:bidi="ar-SA"/>
              </w:rPr>
              <w:t>目前暂未开展业务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正压式空气呼吸器</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color w:val="auto"/>
                <w:spacing w:val="20"/>
                <w:sz w:val="21"/>
                <w:szCs w:val="21"/>
                <w:lang w:eastAsia="zh-CN"/>
              </w:rPr>
            </w:pPr>
            <w:r>
              <w:rPr>
                <w:rFonts w:hint="eastAsia" w:cs="Times New Roman"/>
                <w:bCs/>
                <w:color w:val="auto"/>
                <w:spacing w:val="20"/>
                <w:sz w:val="21"/>
                <w:szCs w:val="21"/>
                <w:lang w:val="en-US" w:eastAsia="zh-CN"/>
              </w:rPr>
              <w:t>2</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便携式硫化氢测试仪</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color w:val="auto"/>
                <w:spacing w:val="20"/>
                <w:sz w:val="21"/>
                <w:szCs w:val="21"/>
              </w:rPr>
            </w:pPr>
            <w:r>
              <w:rPr>
                <w:rFonts w:hint="default" w:ascii="Times New Roman" w:hAnsi="Times New Roman" w:cs="Times New Roman"/>
                <w:bCs/>
                <w:color w:val="auto"/>
                <w:spacing w:val="20"/>
                <w:sz w:val="21"/>
                <w:szCs w:val="21"/>
              </w:rPr>
              <w:t>2</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西南项目部</w:t>
            </w: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小药箱</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2</w:t>
            </w:r>
          </w:p>
        </w:tc>
        <w:tc>
          <w:tcPr>
            <w:tcW w:w="131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西南项目部</w:t>
            </w:r>
          </w:p>
        </w:tc>
        <w:tc>
          <w:tcPr>
            <w:tcW w:w="8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正压式空气呼吸器</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default" w:ascii="Times New Roman" w:hAnsi="Times New Roman" w:cs="Times New Roman"/>
                <w:bCs/>
                <w:color w:val="auto"/>
                <w:spacing w:val="20"/>
                <w:sz w:val="21"/>
                <w:szCs w:val="21"/>
                <w:lang w:val="en-US" w:eastAsia="zh-CN"/>
              </w:rPr>
              <w:t>2</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便携式硫化氢测试仪</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default" w:ascii="Times New Roman" w:hAnsi="Times New Roman" w:cs="Times New Roman"/>
                <w:bCs/>
                <w:spacing w:val="20"/>
                <w:sz w:val="21"/>
                <w:szCs w:val="21"/>
                <w:lang w:val="en-US" w:eastAsia="zh-CN"/>
              </w:rPr>
              <w:t>2</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eastAsia="zh-CN"/>
              </w:rPr>
              <w:t>长庆</w:t>
            </w:r>
            <w:r>
              <w:rPr>
                <w:rFonts w:hint="default" w:ascii="Times New Roman" w:hAnsi="Times New Roman" w:cs="Times New Roman"/>
                <w:bCs/>
                <w:spacing w:val="20"/>
                <w:sz w:val="21"/>
                <w:szCs w:val="21"/>
              </w:rPr>
              <w:t>项目部</w:t>
            </w: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小药箱</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eastAsia="zh-CN"/>
              </w:rPr>
            </w:pPr>
            <w:r>
              <w:rPr>
                <w:rFonts w:hint="default" w:ascii="Times New Roman" w:hAnsi="Times New Roman" w:cs="Times New Roman"/>
                <w:bCs/>
                <w:spacing w:val="20"/>
                <w:sz w:val="21"/>
                <w:szCs w:val="21"/>
                <w:lang w:val="en-US" w:eastAsia="zh-CN"/>
              </w:rPr>
              <w:t>5</w:t>
            </w:r>
          </w:p>
        </w:tc>
        <w:tc>
          <w:tcPr>
            <w:tcW w:w="131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eastAsia="zh-CN"/>
              </w:rPr>
              <w:t>长庆</w:t>
            </w:r>
            <w:r>
              <w:rPr>
                <w:rFonts w:hint="default" w:ascii="Times New Roman" w:hAnsi="Times New Roman" w:cs="Times New Roman"/>
                <w:bCs/>
                <w:spacing w:val="20"/>
                <w:sz w:val="21"/>
                <w:szCs w:val="21"/>
              </w:rPr>
              <w:t>项目部</w:t>
            </w:r>
          </w:p>
        </w:tc>
        <w:tc>
          <w:tcPr>
            <w:tcW w:w="8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正压式空气呼吸器</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rPr>
              <w:t>2</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rPr>
              <w:t>便携式硫化氢测试仪</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rPr>
              <w:t>2</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default" w:ascii="Times New Roman" w:hAnsi="Times New Roman" w:cs="Times New Roman"/>
                <w:bCs/>
                <w:spacing w:val="20"/>
                <w:sz w:val="21"/>
                <w:szCs w:val="21"/>
                <w:lang w:val="en-US" w:eastAsia="zh-CN"/>
              </w:rPr>
              <w:t>大庆项目部</w:t>
            </w: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小药箱</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2</w:t>
            </w:r>
          </w:p>
        </w:tc>
        <w:tc>
          <w:tcPr>
            <w:tcW w:w="131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default" w:ascii="Times New Roman" w:hAnsi="Times New Roman" w:cs="Times New Roman"/>
                <w:bCs/>
                <w:spacing w:val="20"/>
                <w:sz w:val="21"/>
                <w:szCs w:val="21"/>
                <w:lang w:val="en-US" w:eastAsia="zh-CN"/>
              </w:rPr>
              <w:t>大庆项目部</w:t>
            </w:r>
          </w:p>
        </w:tc>
        <w:tc>
          <w:tcPr>
            <w:tcW w:w="8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正压式空气呼吸器</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color w:val="auto"/>
                <w:spacing w:val="20"/>
                <w:kern w:val="2"/>
                <w:sz w:val="21"/>
                <w:szCs w:val="21"/>
                <w:lang w:val="en-US" w:eastAsia="zh-CN" w:bidi="ar-SA"/>
              </w:rPr>
            </w:pPr>
            <w:r>
              <w:rPr>
                <w:rFonts w:hint="eastAsia" w:cs="Times New Roman"/>
                <w:bCs/>
                <w:color w:val="auto"/>
                <w:spacing w:val="20"/>
                <w:kern w:val="2"/>
                <w:sz w:val="21"/>
                <w:szCs w:val="21"/>
                <w:lang w:val="en-US" w:eastAsia="zh-CN" w:bidi="ar-SA"/>
              </w:rPr>
              <w:t>8</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便携式硫化氢测试仪</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color w:val="auto"/>
                <w:spacing w:val="20"/>
                <w:kern w:val="2"/>
                <w:sz w:val="21"/>
                <w:szCs w:val="21"/>
                <w:lang w:val="en-US" w:eastAsia="zh-CN" w:bidi="ar-SA"/>
              </w:rPr>
            </w:pPr>
            <w:r>
              <w:rPr>
                <w:rFonts w:hint="default" w:ascii="Times New Roman" w:hAnsi="Times New Roman" w:eastAsia="宋体" w:cs="Times New Roman"/>
                <w:bCs/>
                <w:color w:val="auto"/>
                <w:spacing w:val="20"/>
                <w:kern w:val="2"/>
                <w:sz w:val="21"/>
                <w:szCs w:val="21"/>
                <w:lang w:val="en-US" w:eastAsia="zh-CN" w:bidi="ar-SA"/>
              </w:rPr>
              <w:t>7</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吐哈项目部</w:t>
            </w: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小药箱</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1</w:t>
            </w:r>
            <w:r>
              <w:rPr>
                <w:rFonts w:hint="default" w:ascii="Times New Roman" w:hAnsi="Times New Roman" w:cs="Times New Roman"/>
                <w:bCs/>
                <w:spacing w:val="20"/>
                <w:sz w:val="21"/>
                <w:szCs w:val="21"/>
              </w:rPr>
              <w:t>2</w:t>
            </w:r>
          </w:p>
        </w:tc>
        <w:tc>
          <w:tcPr>
            <w:tcW w:w="131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吐哈项目部</w:t>
            </w:r>
          </w:p>
        </w:tc>
        <w:tc>
          <w:tcPr>
            <w:tcW w:w="8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cs="Times New Roman"/>
                <w:bCs/>
                <w:spacing w:val="20"/>
                <w:kern w:val="2"/>
                <w:sz w:val="21"/>
                <w:szCs w:val="21"/>
                <w:lang w:val="en-US" w:eastAsia="zh-CN" w:bidi="ar-SA"/>
              </w:rPr>
            </w:pPr>
            <w:r>
              <w:rPr>
                <w:rFonts w:hint="eastAsia" w:cs="Times New Roman"/>
                <w:bCs/>
                <w:spacing w:val="20"/>
                <w:kern w:val="2"/>
                <w:sz w:val="21"/>
                <w:szCs w:val="21"/>
                <w:lang w:val="en-US" w:eastAsia="zh-CN" w:bidi="ar-SA"/>
              </w:rPr>
              <w:t>目前暂未开展业务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正压式空气呼吸器</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r>
              <w:rPr>
                <w:rFonts w:hint="default" w:ascii="Times New Roman" w:hAnsi="Times New Roman" w:cs="Times New Roman"/>
                <w:bCs/>
                <w:spacing w:val="20"/>
                <w:kern w:val="2"/>
                <w:sz w:val="21"/>
                <w:szCs w:val="21"/>
                <w:lang w:val="en-US" w:eastAsia="zh-CN" w:bidi="ar-SA"/>
              </w:rPr>
              <w:t>0</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便携式硫化氢测试仪</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0</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r>
              <w:rPr>
                <w:rFonts w:hint="default" w:ascii="Times New Roman" w:hAnsi="Times New Roman" w:cs="Times New Roman"/>
                <w:bCs/>
                <w:spacing w:val="20"/>
                <w:sz w:val="21"/>
                <w:szCs w:val="21"/>
                <w:lang w:val="en-US" w:eastAsia="zh-CN"/>
              </w:rPr>
              <w:t>西北局项目部</w:t>
            </w: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小药箱</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8</w:t>
            </w:r>
          </w:p>
        </w:tc>
        <w:tc>
          <w:tcPr>
            <w:tcW w:w="131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eastAsia="zh-CN"/>
              </w:rPr>
              <w:t>西北局项目部</w:t>
            </w:r>
          </w:p>
        </w:tc>
        <w:tc>
          <w:tcPr>
            <w:tcW w:w="8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spacing w:val="2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正压式空气呼吸器</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color w:val="auto"/>
                <w:spacing w:val="20"/>
                <w:kern w:val="2"/>
                <w:sz w:val="21"/>
                <w:szCs w:val="21"/>
                <w:lang w:val="en-US" w:eastAsia="zh-CN" w:bidi="ar-SA"/>
              </w:rPr>
            </w:pPr>
            <w:r>
              <w:rPr>
                <w:rFonts w:hint="eastAsia" w:cs="Times New Roman"/>
                <w:bCs/>
                <w:color w:val="auto"/>
                <w:spacing w:val="20"/>
                <w:sz w:val="21"/>
                <w:szCs w:val="21"/>
                <w:lang w:val="en-US" w:eastAsia="zh-CN"/>
              </w:rPr>
              <w:t>11</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便携式硫化氢测试仪</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color w:val="auto"/>
                <w:spacing w:val="20"/>
                <w:kern w:val="2"/>
                <w:sz w:val="21"/>
                <w:szCs w:val="21"/>
                <w:lang w:val="en-US" w:eastAsia="zh-CN" w:bidi="ar-SA"/>
              </w:rPr>
            </w:pPr>
            <w:r>
              <w:rPr>
                <w:rFonts w:hint="default" w:ascii="Times New Roman" w:hAnsi="Times New Roman" w:cs="Times New Roman"/>
                <w:bCs/>
                <w:color w:val="auto"/>
                <w:spacing w:val="20"/>
                <w:sz w:val="21"/>
                <w:szCs w:val="21"/>
                <w:lang w:val="en-US" w:eastAsia="zh-CN"/>
              </w:rPr>
              <w:t>1</w:t>
            </w:r>
            <w:r>
              <w:rPr>
                <w:rFonts w:hint="eastAsia" w:cs="Times New Roman"/>
                <w:bCs/>
                <w:color w:val="auto"/>
                <w:spacing w:val="20"/>
                <w:sz w:val="21"/>
                <w:szCs w:val="21"/>
                <w:lang w:val="en-US" w:eastAsia="zh-CN"/>
              </w:rPr>
              <w:t>1</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lang w:val="en-US" w:eastAsia="zh-CN"/>
              </w:rPr>
              <w:t>青海项目部</w:t>
            </w: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小药箱</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2</w:t>
            </w:r>
          </w:p>
        </w:tc>
        <w:tc>
          <w:tcPr>
            <w:tcW w:w="1318"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r>
              <w:rPr>
                <w:rFonts w:hint="default" w:ascii="Times New Roman" w:hAnsi="Times New Roman" w:cs="Times New Roman"/>
                <w:bCs/>
                <w:spacing w:val="20"/>
                <w:sz w:val="21"/>
                <w:szCs w:val="21"/>
                <w:lang w:val="en-US" w:eastAsia="zh-CN"/>
              </w:rPr>
              <w:t>青海项目部</w:t>
            </w:r>
          </w:p>
        </w:tc>
        <w:tc>
          <w:tcPr>
            <w:tcW w:w="886"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both"/>
              <w:textAlignment w:val="auto"/>
              <w:rPr>
                <w:rFonts w:hint="default" w:ascii="Times New Roman" w:hAnsi="Times New Roman" w:cs="Times New Roman"/>
                <w:bCs/>
                <w:spacing w:val="20"/>
                <w:kern w:val="2"/>
                <w:sz w:val="21"/>
                <w:szCs w:val="21"/>
                <w:lang w:val="en-US" w:eastAsia="zh-CN" w:bidi="ar-SA"/>
              </w:rPr>
            </w:pPr>
            <w:r>
              <w:rPr>
                <w:rFonts w:hint="eastAsia" w:cs="Times New Roman"/>
                <w:bCs/>
                <w:spacing w:val="20"/>
                <w:kern w:val="2"/>
                <w:sz w:val="21"/>
                <w:szCs w:val="21"/>
                <w:lang w:val="en-US" w:eastAsia="zh-CN" w:bidi="ar-SA"/>
              </w:rPr>
              <w:t>目前暂未开展业务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正压式空气呼吸器</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color w:val="auto"/>
                <w:spacing w:val="20"/>
                <w:kern w:val="2"/>
                <w:sz w:val="21"/>
                <w:szCs w:val="21"/>
                <w:lang w:val="en-US" w:eastAsia="zh-CN" w:bidi="ar-SA"/>
              </w:rPr>
            </w:pPr>
            <w:r>
              <w:rPr>
                <w:rFonts w:hint="eastAsia" w:cs="Times New Roman"/>
                <w:bCs/>
                <w:color w:val="auto"/>
                <w:spacing w:val="20"/>
                <w:sz w:val="21"/>
                <w:szCs w:val="21"/>
                <w:lang w:val="en-US" w:eastAsia="zh-CN"/>
              </w:rPr>
              <w:t>2</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15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kern w:val="2"/>
                <w:sz w:val="21"/>
                <w:szCs w:val="21"/>
                <w:lang w:val="en-US" w:eastAsia="zh-CN" w:bidi="ar-SA"/>
              </w:rPr>
            </w:pPr>
            <w:r>
              <w:rPr>
                <w:rFonts w:hint="default" w:ascii="Times New Roman" w:hAnsi="Times New Roman" w:cs="Times New Roman"/>
                <w:bCs/>
                <w:spacing w:val="20"/>
                <w:sz w:val="21"/>
                <w:szCs w:val="21"/>
              </w:rPr>
              <w:t>便携式硫化氢测试仪</w:t>
            </w:r>
          </w:p>
        </w:tc>
        <w:tc>
          <w:tcPr>
            <w:tcW w:w="54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Cs/>
                <w:color w:val="auto"/>
                <w:spacing w:val="20"/>
                <w:kern w:val="2"/>
                <w:sz w:val="21"/>
                <w:szCs w:val="21"/>
                <w:lang w:val="en-US" w:eastAsia="zh-CN" w:bidi="ar-SA"/>
              </w:rPr>
            </w:pPr>
            <w:r>
              <w:rPr>
                <w:rFonts w:hint="default" w:ascii="Times New Roman" w:hAnsi="Times New Roman" w:cs="Times New Roman"/>
                <w:bCs/>
                <w:color w:val="auto"/>
                <w:spacing w:val="20"/>
                <w:sz w:val="21"/>
                <w:szCs w:val="21"/>
                <w:lang w:val="en-US" w:eastAsia="zh-CN"/>
              </w:rPr>
              <w:t>2</w:t>
            </w:r>
          </w:p>
        </w:tc>
        <w:tc>
          <w:tcPr>
            <w:tcW w:w="1318"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c>
          <w:tcPr>
            <w:tcW w:w="886"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bCs/>
                <w:spacing w:val="20"/>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eastAsia="宋体"/>
          <w:b w:val="0"/>
          <w:bCs w:val="0"/>
          <w:sz w:val="28"/>
          <w:szCs w:val="28"/>
          <w:lang w:val="en-US" w:eastAsia="zh-CN"/>
        </w:rPr>
      </w:pPr>
      <w:r>
        <w:rPr>
          <w:rFonts w:hint="eastAsia"/>
          <w:b w:val="0"/>
          <w:bCs w:val="0"/>
          <w:sz w:val="28"/>
          <w:szCs w:val="28"/>
          <w:lang w:val="en-US" w:eastAsia="zh-CN"/>
        </w:rPr>
        <w:t>该</w:t>
      </w:r>
      <w:r>
        <w:rPr>
          <w:rFonts w:hint="eastAsia"/>
          <w:b w:val="0"/>
          <w:bCs w:val="0"/>
          <w:sz w:val="28"/>
          <w:szCs w:val="28"/>
        </w:rPr>
        <w:t>公司</w:t>
      </w:r>
      <w:r>
        <w:rPr>
          <w:rFonts w:hint="eastAsia"/>
          <w:b w:val="0"/>
          <w:bCs w:val="0"/>
          <w:sz w:val="28"/>
          <w:szCs w:val="28"/>
          <w:lang w:val="en-US" w:eastAsia="zh-CN"/>
        </w:rPr>
        <w:t>已根据其钻井（定向施工）作业过程中存在的事故风险种类、可能性、危害程度及影响范围配备了相应的应急物资和器材，目前该公司应急救援物资</w:t>
      </w:r>
      <w:r>
        <w:rPr>
          <w:rFonts w:hint="eastAsia"/>
          <w:b w:val="0"/>
          <w:bCs w:val="0"/>
          <w:sz w:val="28"/>
          <w:szCs w:val="28"/>
        </w:rPr>
        <w:t>的配备</w:t>
      </w:r>
      <w:r>
        <w:rPr>
          <w:rFonts w:hint="eastAsia"/>
          <w:b w:val="0"/>
          <w:bCs w:val="0"/>
          <w:sz w:val="28"/>
          <w:szCs w:val="28"/>
          <w:lang w:val="en-US" w:eastAsia="zh-CN"/>
        </w:rPr>
        <w:t>符合钻井（定向施工）作业过程中</w:t>
      </w:r>
      <w:r>
        <w:rPr>
          <w:rFonts w:hint="eastAsia"/>
          <w:b w:val="0"/>
          <w:bCs w:val="0"/>
          <w:sz w:val="28"/>
          <w:szCs w:val="28"/>
        </w:rPr>
        <w:t>事故应急救援的要求</w:t>
      </w:r>
      <w:r>
        <w:rPr>
          <w:rFonts w:hint="eastAsia"/>
          <w:b w:val="0"/>
          <w:bCs w:val="0"/>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黑体"/>
          <w:bCs/>
          <w:sz w:val="32"/>
          <w:szCs w:val="32"/>
        </w:rPr>
      </w:pPr>
      <w:r>
        <w:rPr>
          <w:rFonts w:hint="eastAsia"/>
          <w:sz w:val="28"/>
          <w:szCs w:val="28"/>
        </w:rPr>
        <w:t>企业制定了《安全事故管理</w:t>
      </w:r>
      <w:r>
        <w:rPr>
          <w:rFonts w:hint="eastAsia"/>
          <w:sz w:val="28"/>
          <w:szCs w:val="28"/>
          <w:lang w:val="en-US" w:eastAsia="zh-CN"/>
        </w:rPr>
        <w:t>制度</w:t>
      </w:r>
      <w:r>
        <w:rPr>
          <w:rFonts w:hint="eastAsia"/>
          <w:sz w:val="28"/>
          <w:szCs w:val="28"/>
        </w:rPr>
        <w:t>》，并定期组织相关人员对国内外同类企业的安全事故进行学习，总结经验，不断提高企业人员技术及应急能力。</w:t>
      </w:r>
    </w:p>
    <w:p>
      <w:pPr>
        <w:pStyle w:val="4"/>
        <w:adjustRightInd w:val="0"/>
        <w:snapToGrid w:val="0"/>
        <w:spacing w:before="0" w:after="0" w:line="360" w:lineRule="auto"/>
        <w:rPr>
          <w:rFonts w:ascii="Times New Roman" w:hAnsi="Times New Roman"/>
          <w:b w:val="0"/>
          <w:bCs/>
          <w:szCs w:val="32"/>
        </w:rPr>
      </w:pPr>
      <w:bookmarkStart w:id="37" w:name="_Toc8738"/>
      <w:r>
        <w:rPr>
          <w:rFonts w:ascii="Times New Roman" w:hAnsi="Times New Roman"/>
          <w:b w:val="0"/>
          <w:bCs/>
          <w:szCs w:val="32"/>
        </w:rPr>
        <w:t>2.1</w:t>
      </w:r>
      <w:r>
        <w:rPr>
          <w:rFonts w:hint="eastAsia" w:ascii="Times New Roman" w:hAnsi="Times New Roman"/>
          <w:b w:val="0"/>
          <w:bCs/>
          <w:szCs w:val="32"/>
          <w:lang w:val="en-US" w:eastAsia="zh-CN"/>
        </w:rPr>
        <w:t>2</w:t>
      </w:r>
      <w:r>
        <w:rPr>
          <w:rFonts w:hint="eastAsia" w:ascii="Times New Roman" w:hAnsi="Times New Roman"/>
          <w:b w:val="0"/>
          <w:bCs/>
          <w:szCs w:val="32"/>
        </w:rPr>
        <w:t>安全生产标准化及双重预防体系的建设、运行情况</w:t>
      </w:r>
      <w:bookmarkEnd w:id="37"/>
    </w:p>
    <w:p>
      <w:pPr>
        <w:adjustRightInd w:val="0"/>
        <w:snapToGrid w:val="0"/>
        <w:spacing w:line="360" w:lineRule="auto"/>
        <w:ind w:firstLine="560" w:firstLineChars="200"/>
        <w:rPr>
          <w:b/>
          <w:sz w:val="28"/>
          <w:szCs w:val="28"/>
        </w:rPr>
      </w:pPr>
      <w:r>
        <w:rPr>
          <w:rFonts w:hint="eastAsia"/>
          <w:sz w:val="28"/>
          <w:szCs w:val="28"/>
          <w:lang w:eastAsia="zh-CN"/>
        </w:rPr>
        <w:t>斯伦贝谢油田技术（山东）有限公司</w:t>
      </w:r>
      <w:r>
        <w:rPr>
          <w:rFonts w:hint="eastAsia"/>
          <w:sz w:val="28"/>
          <w:szCs w:val="28"/>
        </w:rPr>
        <w:t>于</w:t>
      </w:r>
      <w:r>
        <w:rPr>
          <w:sz w:val="28"/>
          <w:szCs w:val="28"/>
        </w:rPr>
        <w:t>201</w:t>
      </w:r>
      <w:r>
        <w:rPr>
          <w:rFonts w:hint="eastAsia"/>
          <w:sz w:val="28"/>
          <w:szCs w:val="28"/>
          <w:lang w:val="en-US" w:eastAsia="zh-CN"/>
        </w:rPr>
        <w:t>9</w:t>
      </w:r>
      <w:r>
        <w:rPr>
          <w:rFonts w:hint="eastAsia"/>
          <w:sz w:val="28"/>
          <w:szCs w:val="28"/>
        </w:rPr>
        <w:t>年完成安全生产标准化建设工作，并取得</w:t>
      </w:r>
      <w:r>
        <w:rPr>
          <w:rFonts w:hint="eastAsia"/>
          <w:sz w:val="28"/>
          <w:szCs w:val="28"/>
          <w:lang w:val="en-US" w:eastAsia="zh-CN"/>
        </w:rPr>
        <w:t>非煤矿山石油行业钻井</w:t>
      </w:r>
      <w:r>
        <w:rPr>
          <w:rFonts w:hint="eastAsia"/>
          <w:sz w:val="28"/>
          <w:szCs w:val="28"/>
        </w:rPr>
        <w:t>三级安全生产标准化证书</w:t>
      </w:r>
      <w:r>
        <w:rPr>
          <w:rFonts w:hint="eastAsia"/>
          <w:sz w:val="28"/>
          <w:szCs w:val="28"/>
          <w:lang w:eastAsia="zh-CN"/>
        </w:rPr>
        <w:t>，</w:t>
      </w:r>
      <w:r>
        <w:rPr>
          <w:rFonts w:hint="eastAsia"/>
          <w:sz w:val="28"/>
          <w:szCs w:val="28"/>
          <w:lang w:val="en-US" w:eastAsia="zh-CN"/>
        </w:rPr>
        <w:t>证书编号（东开）AQBFMKS</w:t>
      </w:r>
      <w:r>
        <w:rPr>
          <w:rFonts w:hint="eastAsia" w:ascii="宋体" w:hAnsi="宋体" w:eastAsia="宋体" w:cs="宋体"/>
          <w:sz w:val="28"/>
          <w:szCs w:val="28"/>
          <w:lang w:val="en-US" w:eastAsia="zh-CN"/>
        </w:rPr>
        <w:t>Ⅲ</w:t>
      </w:r>
      <w:r>
        <w:rPr>
          <w:rFonts w:hint="eastAsia"/>
          <w:sz w:val="28"/>
          <w:szCs w:val="28"/>
          <w:lang w:val="en-US" w:eastAsia="zh-CN"/>
        </w:rPr>
        <w:t>201900010，有效期至2022年6月，详见报告附件2</w:t>
      </w:r>
      <w:r>
        <w:rPr>
          <w:rFonts w:hint="eastAsia"/>
          <w:sz w:val="28"/>
          <w:szCs w:val="28"/>
        </w:rPr>
        <w:t>。</w:t>
      </w:r>
    </w:p>
    <w:p>
      <w:pPr>
        <w:adjustRightInd w:val="0"/>
        <w:snapToGrid w:val="0"/>
        <w:spacing w:line="360" w:lineRule="auto"/>
        <w:ind w:firstLine="560" w:firstLineChars="200"/>
        <w:rPr>
          <w:rFonts w:hint="default" w:ascii="Times New Roman" w:hAnsi="Times New Roman" w:cs="Times New Roman"/>
          <w:color w:val="auto"/>
          <w:sz w:val="28"/>
          <w:lang w:val="en-US" w:eastAsia="zh-CN" w:bidi="he-IL"/>
        </w:rPr>
      </w:pPr>
      <w:r>
        <w:rPr>
          <w:rFonts w:hint="default" w:ascii="Times New Roman" w:hAnsi="Times New Roman" w:cs="Times New Roman"/>
          <w:color w:val="auto"/>
          <w:sz w:val="28"/>
          <w:lang w:val="en-US" w:eastAsia="zh-CN" w:bidi="he-IL"/>
        </w:rPr>
        <w:t>根据</w:t>
      </w:r>
      <w:r>
        <w:rPr>
          <w:rFonts w:hint="default" w:ascii="Times New Roman" w:hAnsi="Times New Roman" w:cs="Times New Roman"/>
          <w:sz w:val="28"/>
          <w:lang w:bidi="he-IL"/>
        </w:rPr>
        <w:t>《山东省人民政府安全生产委员会关于印</w:t>
      </w:r>
      <w:r>
        <w:rPr>
          <w:rFonts w:hint="default" w:ascii="Times New Roman" w:hAnsi="Times New Roman" w:cs="Times New Roman"/>
          <w:sz w:val="28"/>
          <w:lang w:val="en-US" w:eastAsia="zh-CN" w:bidi="he-IL"/>
        </w:rPr>
        <w:t>&lt;</w:t>
      </w:r>
      <w:r>
        <w:rPr>
          <w:rFonts w:hint="default" w:ascii="Times New Roman" w:hAnsi="Times New Roman" w:cs="Times New Roman"/>
          <w:sz w:val="28"/>
          <w:lang w:bidi="he-IL"/>
        </w:rPr>
        <w:t>加快推进安全生产风险分级管控与隐患排查治理两个体系建设工作方案</w:t>
      </w:r>
      <w:r>
        <w:rPr>
          <w:rFonts w:hint="default" w:ascii="Times New Roman" w:hAnsi="Times New Roman" w:cs="Times New Roman"/>
          <w:sz w:val="28"/>
          <w:lang w:val="en-US" w:eastAsia="zh-CN" w:bidi="he-IL"/>
        </w:rPr>
        <w:t>&gt;</w:t>
      </w:r>
      <w:r>
        <w:rPr>
          <w:rFonts w:hint="default" w:ascii="Times New Roman" w:hAnsi="Times New Roman" w:cs="Times New Roman"/>
          <w:sz w:val="28"/>
          <w:lang w:bidi="he-IL"/>
        </w:rPr>
        <w:t>的通知》（鲁安办发</w:t>
      </w:r>
      <w:r>
        <w:rPr>
          <w:rFonts w:hint="default" w:ascii="Times New Roman" w:hAnsi="Times New Roman" w:cs="Times New Roman"/>
          <w:sz w:val="28"/>
        </w:rPr>
        <w:t>[201</w:t>
      </w:r>
      <w:r>
        <w:rPr>
          <w:rFonts w:hint="default" w:ascii="Times New Roman" w:hAnsi="Times New Roman" w:cs="Times New Roman"/>
          <w:sz w:val="28"/>
          <w:lang w:val="en-US" w:eastAsia="zh-CN"/>
        </w:rPr>
        <w:t>6</w:t>
      </w:r>
      <w:r>
        <w:rPr>
          <w:rFonts w:hint="default" w:ascii="Times New Roman" w:hAnsi="Times New Roman" w:cs="Times New Roman"/>
          <w:sz w:val="28"/>
        </w:rPr>
        <w:t>]</w:t>
      </w:r>
      <w:r>
        <w:rPr>
          <w:rFonts w:hint="default" w:ascii="Times New Roman" w:hAnsi="Times New Roman" w:cs="Times New Roman"/>
          <w:sz w:val="28"/>
          <w:lang w:val="en-US" w:eastAsia="zh-CN"/>
        </w:rPr>
        <w:t>10</w:t>
      </w:r>
      <w:r>
        <w:rPr>
          <w:rFonts w:hint="default" w:ascii="Times New Roman" w:hAnsi="Times New Roman" w:cs="Times New Roman"/>
          <w:sz w:val="28"/>
          <w:lang w:bidi="he-IL"/>
        </w:rPr>
        <w:t>号）</w:t>
      </w:r>
      <w:r>
        <w:rPr>
          <w:rFonts w:hint="default" w:ascii="Times New Roman" w:hAnsi="Times New Roman" w:cs="Times New Roman"/>
          <w:sz w:val="28"/>
          <w:lang w:val="en-US" w:eastAsia="zh-CN" w:bidi="he-IL"/>
        </w:rPr>
        <w:t>文件要求，依据</w:t>
      </w:r>
      <w:r>
        <w:rPr>
          <w:rFonts w:hint="default" w:ascii="Times New Roman" w:hAnsi="Times New Roman" w:cs="Times New Roman"/>
          <w:color w:val="auto"/>
          <w:sz w:val="28"/>
          <w:lang w:val="en-US" w:eastAsia="zh-CN" w:bidi="he-IL"/>
        </w:rPr>
        <w:t>《陆上石油和天然气开采企业安全生产风险分级管控体系建设实施指南》（DB37/T3331-2018）、《陆上石油和天然气开采企业生产安全事故隐患排查治理体系实施指南》（DB37/T3332-2018）等标准规范，</w:t>
      </w:r>
      <w:r>
        <w:rPr>
          <w:rFonts w:hint="eastAsia" w:cs="Times New Roman"/>
          <w:color w:val="auto"/>
          <w:sz w:val="28"/>
          <w:lang w:val="en-US" w:eastAsia="zh-CN" w:bidi="he-IL"/>
        </w:rPr>
        <w:t>斯伦贝谢油田技术（山东）有限公司</w:t>
      </w:r>
      <w:r>
        <w:rPr>
          <w:rFonts w:hint="default" w:ascii="Times New Roman" w:hAnsi="Times New Roman" w:cs="Times New Roman"/>
          <w:color w:val="auto"/>
          <w:sz w:val="28"/>
          <w:lang w:val="en-US" w:eastAsia="zh-CN" w:bidi="he-IL"/>
        </w:rPr>
        <w:t>开展了双重预防体系建设工作，定期组织安全生产管理人员，重点围绕人的不安全行为、物的不安全状态、环境的不良因素、管理的缺陷，全方位、全过程排查可能导致事故发生的风险点，包括设备设施、施工作业现场等方面存在的风险。</w:t>
      </w:r>
    </w:p>
    <w:p>
      <w:pPr>
        <w:adjustRightInd w:val="0"/>
        <w:snapToGrid w:val="0"/>
        <w:spacing w:line="360" w:lineRule="auto"/>
        <w:ind w:firstLine="560" w:firstLineChars="200"/>
        <w:rPr>
          <w:rFonts w:hint="default" w:ascii="Times New Roman" w:hAnsi="Times New Roman" w:cs="Times New Roman"/>
          <w:color w:val="auto"/>
          <w:sz w:val="28"/>
          <w:lang w:val="en-US" w:eastAsia="zh-CN" w:bidi="he-IL"/>
        </w:rPr>
      </w:pPr>
      <w:r>
        <w:rPr>
          <w:rFonts w:hint="default" w:ascii="Times New Roman" w:hAnsi="Times New Roman" w:cs="Times New Roman"/>
          <w:color w:val="auto"/>
          <w:sz w:val="28"/>
          <w:lang w:val="en-US" w:eastAsia="zh-CN" w:bidi="he-IL"/>
        </w:rPr>
        <w:t>根据生产特点危险因素、可能导致的事故后果等，对现有设备及岗位进行风险分析，建立风险点台账，对排查出来的风险点根据危险程度及可能造成后果的严重性进行分类分级。根据风险类别和等级，将风险点逐一明确管控层级，落实具体的责任主体和管控措施（工程技术措施、管理措施、教育培训措施、个体防护措施、应急处置措施），定期对隐患点进行排查并进行整改。</w:t>
      </w:r>
    </w:p>
    <w:p>
      <w:pPr>
        <w:widowControl/>
        <w:jc w:val="left"/>
        <w:rPr>
          <w:sz w:val="28"/>
          <w:szCs w:val="28"/>
        </w:rPr>
      </w:pPr>
      <w:r>
        <w:rPr>
          <w:sz w:val="28"/>
          <w:szCs w:val="28"/>
        </w:rPr>
        <w:br w:type="page"/>
      </w:r>
    </w:p>
    <w:p>
      <w:pPr>
        <w:keepNext/>
        <w:adjustRightInd w:val="0"/>
        <w:snapToGrid w:val="0"/>
        <w:spacing w:line="360" w:lineRule="auto"/>
        <w:jc w:val="center"/>
        <w:outlineLvl w:val="0"/>
        <w:rPr>
          <w:rFonts w:eastAsia="楷体_GB2312"/>
          <w:b/>
          <w:sz w:val="36"/>
          <w:szCs w:val="36"/>
        </w:rPr>
      </w:pPr>
      <w:bookmarkStart w:id="38" w:name="_Toc447782514"/>
      <w:bookmarkStart w:id="39" w:name="_Toc6518"/>
      <w:r>
        <w:rPr>
          <w:rFonts w:hint="eastAsia" w:eastAsia="楷体_GB2312"/>
          <w:b/>
          <w:sz w:val="36"/>
          <w:szCs w:val="36"/>
        </w:rPr>
        <w:t>3 主要危险、有害因素分析</w:t>
      </w:r>
      <w:bookmarkEnd w:id="38"/>
      <w:bookmarkEnd w:id="39"/>
    </w:p>
    <w:p>
      <w:pPr>
        <w:pStyle w:val="4"/>
        <w:adjustRightInd w:val="0"/>
        <w:snapToGrid w:val="0"/>
        <w:spacing w:before="0" w:after="0" w:line="360" w:lineRule="auto"/>
        <w:rPr>
          <w:rFonts w:ascii="Times New Roman" w:hAnsi="Times New Roman"/>
          <w:b w:val="0"/>
          <w:bCs/>
          <w:szCs w:val="32"/>
        </w:rPr>
      </w:pPr>
      <w:bookmarkStart w:id="40" w:name="_Toc447782515"/>
      <w:bookmarkStart w:id="41" w:name="_Toc248650008"/>
      <w:bookmarkStart w:id="42" w:name="_Toc26534932"/>
      <w:bookmarkStart w:id="43" w:name="_Toc276394620"/>
      <w:bookmarkStart w:id="44" w:name="_Toc291144364"/>
      <w:bookmarkStart w:id="45" w:name="_Toc32449"/>
      <w:r>
        <w:rPr>
          <w:rFonts w:hint="eastAsia" w:ascii="Times New Roman" w:hAnsi="Times New Roman"/>
          <w:b w:val="0"/>
          <w:bCs/>
          <w:szCs w:val="32"/>
        </w:rPr>
        <w:t>3.1 主要物质的危险有害特性分析</w:t>
      </w:r>
      <w:bookmarkEnd w:id="40"/>
      <w:bookmarkEnd w:id="41"/>
      <w:bookmarkEnd w:id="42"/>
      <w:bookmarkEnd w:id="43"/>
      <w:bookmarkEnd w:id="44"/>
      <w:bookmarkEnd w:id="45"/>
    </w:p>
    <w:p>
      <w:pPr>
        <w:adjustRightInd w:val="0"/>
        <w:snapToGrid w:val="0"/>
        <w:spacing w:line="360" w:lineRule="auto"/>
        <w:ind w:firstLine="560" w:firstLineChars="200"/>
        <w:rPr>
          <w:rFonts w:hint="eastAsia"/>
          <w:sz w:val="28"/>
          <w:szCs w:val="28"/>
        </w:rPr>
      </w:pPr>
      <w:r>
        <w:rPr>
          <w:rFonts w:hint="eastAsia"/>
          <w:sz w:val="28"/>
          <w:szCs w:val="28"/>
        </w:rPr>
        <w:t>斯伦贝谢油田技术（山东）有限公司钻井（</w:t>
      </w:r>
      <w:r>
        <w:rPr>
          <w:rFonts w:hint="eastAsia"/>
          <w:sz w:val="28"/>
          <w:szCs w:val="28"/>
          <w:lang w:eastAsia="zh-CN"/>
        </w:rPr>
        <w:t>定向施工</w:t>
      </w:r>
      <w:r>
        <w:rPr>
          <w:rFonts w:hint="eastAsia"/>
          <w:sz w:val="28"/>
          <w:szCs w:val="28"/>
        </w:rPr>
        <w:t>）项目，作业过程中涉及的主要危险、有害物质有原油、天然气、硫化氢、二氧化硫等。</w:t>
      </w:r>
    </w:p>
    <w:p>
      <w:pPr>
        <w:adjustRightInd w:val="0"/>
        <w:snapToGrid w:val="0"/>
        <w:spacing w:line="360" w:lineRule="auto"/>
        <w:ind w:firstLine="560" w:firstLineChars="200"/>
        <w:rPr>
          <w:rFonts w:hint="default" w:eastAsia="宋体"/>
          <w:sz w:val="28"/>
          <w:szCs w:val="28"/>
          <w:lang w:val="en-US" w:eastAsia="zh-CN"/>
        </w:rPr>
      </w:pPr>
      <w:r>
        <w:rPr>
          <w:rFonts w:hint="eastAsia"/>
          <w:sz w:val="28"/>
          <w:szCs w:val="28"/>
          <w:lang w:val="en-US" w:eastAsia="zh-CN"/>
        </w:rPr>
        <w:t>企业涉及的危险有害物质的辨识情况如下表所示：</w:t>
      </w:r>
    </w:p>
    <w:p>
      <w:pPr>
        <w:pStyle w:val="5"/>
        <w:adjustRightInd w:val="0"/>
        <w:snapToGrid w:val="0"/>
        <w:spacing w:line="360" w:lineRule="auto"/>
        <w:ind w:firstLine="480"/>
        <w:jc w:val="center"/>
        <w:rPr>
          <w:b/>
          <w:bCs/>
          <w:sz w:val="24"/>
          <w:szCs w:val="28"/>
        </w:rPr>
      </w:pPr>
      <w:r>
        <w:rPr>
          <w:rFonts w:hint="eastAsia"/>
          <w:b/>
          <w:bCs/>
          <w:sz w:val="24"/>
          <w:szCs w:val="28"/>
        </w:rPr>
        <w:t>表3</w:t>
      </w:r>
      <w:r>
        <w:rPr>
          <w:rFonts w:hint="eastAsia"/>
          <w:b/>
          <w:bCs/>
          <w:sz w:val="24"/>
          <w:szCs w:val="28"/>
          <w:lang w:val="en-US" w:eastAsia="zh-CN"/>
        </w:rPr>
        <w:t>.1</w:t>
      </w:r>
      <w:r>
        <w:rPr>
          <w:rFonts w:hint="eastAsia"/>
          <w:b/>
          <w:bCs/>
          <w:sz w:val="24"/>
          <w:szCs w:val="28"/>
        </w:rPr>
        <w:t xml:space="preserve">-1 </w:t>
      </w:r>
      <w:r>
        <w:rPr>
          <w:rFonts w:hint="eastAsia"/>
          <w:b/>
          <w:bCs/>
          <w:sz w:val="24"/>
          <w:szCs w:val="28"/>
          <w:lang w:val="en-US" w:eastAsia="zh-CN"/>
        </w:rPr>
        <w:t>危险物质辨识情况</w:t>
      </w:r>
      <w:r>
        <w:rPr>
          <w:rFonts w:hint="eastAsia"/>
          <w:b/>
          <w:bCs/>
          <w:sz w:val="24"/>
          <w:szCs w:val="28"/>
        </w:rPr>
        <w:t>一览表</w:t>
      </w:r>
    </w:p>
    <w:tbl>
      <w:tblPr>
        <w:tblStyle w:val="5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732"/>
        <w:gridCol w:w="1991"/>
        <w:gridCol w:w="40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b/>
                <w:bCs/>
                <w:szCs w:val="21"/>
                <w:lang w:val="en-US" w:eastAsia="zh-CN"/>
              </w:rPr>
            </w:pPr>
            <w:r>
              <w:rPr>
                <w:rFonts w:hint="eastAsia"/>
                <w:b/>
                <w:bCs/>
                <w:szCs w:val="21"/>
                <w:lang w:val="en-US" w:eastAsia="zh-CN"/>
              </w:rPr>
              <w:t>序号</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b/>
                <w:bCs/>
                <w:szCs w:val="21"/>
                <w:lang w:val="en-US" w:eastAsia="zh-CN"/>
              </w:rPr>
            </w:pPr>
            <w:r>
              <w:rPr>
                <w:rFonts w:hint="eastAsia"/>
                <w:b/>
                <w:bCs/>
                <w:szCs w:val="21"/>
                <w:lang w:val="en-US" w:eastAsia="zh-CN"/>
              </w:rPr>
              <w:t>类别</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b/>
                <w:bCs/>
                <w:szCs w:val="21"/>
              </w:rPr>
            </w:pPr>
            <w:r>
              <w:rPr>
                <w:rFonts w:hint="eastAsia"/>
                <w:b/>
                <w:bCs/>
                <w:szCs w:val="21"/>
                <w:lang w:val="en-US" w:eastAsia="zh-CN"/>
              </w:rPr>
              <w:t>该项目所涉及的物质</w:t>
            </w:r>
          </w:p>
        </w:tc>
        <w:tc>
          <w:tcPr>
            <w:tcW w:w="408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b/>
                <w:bCs/>
                <w:szCs w:val="21"/>
                <w:lang w:val="en-US" w:eastAsia="zh-CN"/>
              </w:rPr>
            </w:pPr>
            <w:r>
              <w:rPr>
                <w:rFonts w:hint="eastAsia"/>
                <w:b/>
                <w:bCs/>
                <w:szCs w:val="21"/>
                <w:lang w:val="en-US" w:eastAsia="zh-CN"/>
              </w:rPr>
              <w:t>辨识依据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1</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危险化学品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原油、天然气、硫化氢、二氧化硫</w:t>
            </w:r>
          </w:p>
        </w:tc>
        <w:tc>
          <w:tcPr>
            <w:tcW w:w="4088"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《危险化学品名录》（</w:t>
            </w:r>
            <w:r>
              <w:rPr>
                <w:rFonts w:hint="default"/>
                <w:szCs w:val="21"/>
                <w:lang w:val="en-US" w:eastAsia="zh-CN"/>
              </w:rPr>
              <w:t>2015</w:t>
            </w:r>
            <w:r>
              <w:rPr>
                <w:rFonts w:hint="eastAsia"/>
                <w:szCs w:val="21"/>
                <w:lang w:val="en-US" w:eastAsia="zh-CN"/>
              </w:rPr>
              <w:t>版）、《国家安全监管总局办公厅关于印发危险化学品目录（</w:t>
            </w:r>
            <w:r>
              <w:rPr>
                <w:rFonts w:hint="default"/>
                <w:szCs w:val="21"/>
                <w:lang w:val="en-US" w:eastAsia="zh-CN"/>
              </w:rPr>
              <w:t>2015</w:t>
            </w:r>
            <w:r>
              <w:rPr>
                <w:rFonts w:hint="eastAsia"/>
                <w:szCs w:val="21"/>
                <w:lang w:val="en-US" w:eastAsia="zh-CN"/>
              </w:rPr>
              <w:t>版）实施指南（试行）的通知》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2</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剧毒化学品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不涉及</w:t>
            </w:r>
          </w:p>
        </w:tc>
        <w:tc>
          <w:tcPr>
            <w:tcW w:w="4088"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3</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高毒物品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硫化氢</w:t>
            </w:r>
          </w:p>
        </w:tc>
        <w:tc>
          <w:tcPr>
            <w:tcW w:w="408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《高毒物品目录》（卫法监发</w:t>
            </w:r>
            <w:r>
              <w:rPr>
                <w:rFonts w:hint="default"/>
                <w:szCs w:val="21"/>
                <w:lang w:val="en-US" w:eastAsia="zh-CN"/>
              </w:rPr>
              <w:t>[2003]142</w:t>
            </w:r>
            <w:r>
              <w:rPr>
                <w:rFonts w:hint="eastAsia"/>
                <w:szCs w:val="21"/>
                <w:lang w:val="en-US" w:eastAsia="zh-CN"/>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4</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易制毒化学品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不涉及</w:t>
            </w:r>
          </w:p>
        </w:tc>
        <w:tc>
          <w:tcPr>
            <w:tcW w:w="408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《易制毒化学品管理条例》（国务院令第</w:t>
            </w:r>
            <w:r>
              <w:rPr>
                <w:rFonts w:hint="default"/>
                <w:szCs w:val="21"/>
                <w:lang w:val="en-US" w:eastAsia="zh-CN"/>
              </w:rPr>
              <w:t>445</w:t>
            </w:r>
            <w:r>
              <w:rPr>
                <w:rFonts w:hint="eastAsia"/>
                <w:szCs w:val="21"/>
                <w:lang w:val="en-US" w:eastAsia="zh-CN"/>
              </w:rPr>
              <w:t>号，国务院令第</w:t>
            </w:r>
            <w:r>
              <w:rPr>
                <w:rFonts w:hint="default"/>
                <w:szCs w:val="21"/>
                <w:lang w:val="en-US" w:eastAsia="zh-CN"/>
              </w:rPr>
              <w:t>653</w:t>
            </w:r>
            <w:r>
              <w:rPr>
                <w:rFonts w:hint="eastAsia"/>
                <w:szCs w:val="21"/>
                <w:lang w:val="en-US" w:eastAsia="zh-CN"/>
              </w:rPr>
              <w:t>号、第</w:t>
            </w:r>
            <w:r>
              <w:rPr>
                <w:rFonts w:hint="default"/>
                <w:szCs w:val="21"/>
                <w:lang w:val="en-US" w:eastAsia="zh-CN"/>
              </w:rPr>
              <w:t>666</w:t>
            </w:r>
            <w:r>
              <w:rPr>
                <w:rFonts w:hint="eastAsia"/>
                <w:szCs w:val="21"/>
                <w:lang w:val="en-US" w:eastAsia="zh-CN"/>
              </w:rPr>
              <w:t>号、第7</w:t>
            </w:r>
            <w:r>
              <w:rPr>
                <w:rFonts w:hint="default"/>
                <w:szCs w:val="21"/>
                <w:lang w:val="en-US" w:eastAsia="zh-CN"/>
              </w:rPr>
              <w:t>03</w:t>
            </w:r>
            <w:r>
              <w:rPr>
                <w:rFonts w:hint="eastAsia"/>
                <w:szCs w:val="21"/>
                <w:lang w:val="en-US" w:eastAsia="zh-CN"/>
              </w:rPr>
              <w:t>号修订）、《国务院办公厅关于同意将</w:t>
            </w:r>
            <w:r>
              <w:rPr>
                <w:rFonts w:hint="default"/>
                <w:szCs w:val="21"/>
                <w:lang w:val="en-US" w:eastAsia="zh-CN"/>
              </w:rPr>
              <w:t>α-</w:t>
            </w:r>
            <w:r>
              <w:rPr>
                <w:rFonts w:hint="eastAsia"/>
                <w:szCs w:val="21"/>
                <w:lang w:val="en-US" w:eastAsia="zh-CN"/>
              </w:rPr>
              <w:t>苯乙酰乙酸甲酯等</w:t>
            </w:r>
            <w:r>
              <w:rPr>
                <w:rFonts w:hint="default"/>
                <w:szCs w:val="21"/>
                <w:lang w:val="en-US" w:eastAsia="zh-CN"/>
              </w:rPr>
              <w:t>6</w:t>
            </w:r>
            <w:r>
              <w:rPr>
                <w:rFonts w:hint="eastAsia"/>
                <w:szCs w:val="21"/>
                <w:lang w:val="en-US" w:eastAsia="zh-CN"/>
              </w:rPr>
              <w:t>种物质列入易制毒化学品品种目录的函》（国办函[</w:t>
            </w:r>
            <w:r>
              <w:rPr>
                <w:rFonts w:hint="default"/>
                <w:szCs w:val="21"/>
                <w:lang w:val="en-US" w:eastAsia="zh-CN"/>
              </w:rPr>
              <w:t>2021</w:t>
            </w:r>
            <w:r>
              <w:rPr>
                <w:rFonts w:hint="eastAsia"/>
                <w:szCs w:val="21"/>
                <w:lang w:val="en-US" w:eastAsia="zh-CN"/>
              </w:rPr>
              <w:t>]</w:t>
            </w:r>
            <w:r>
              <w:rPr>
                <w:rFonts w:hint="default"/>
                <w:szCs w:val="21"/>
                <w:lang w:val="en-US" w:eastAsia="zh-CN"/>
              </w:rPr>
              <w:t>58</w:t>
            </w:r>
            <w:r>
              <w:rPr>
                <w:rFonts w:hint="eastAsia"/>
                <w:szCs w:val="21"/>
                <w:lang w:val="en-US" w:eastAsia="zh-CN"/>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5</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易制爆化学品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不涉及</w:t>
            </w:r>
          </w:p>
        </w:tc>
        <w:tc>
          <w:tcPr>
            <w:tcW w:w="408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《易制爆危险化学品名录》（</w:t>
            </w:r>
            <w:r>
              <w:rPr>
                <w:rFonts w:hint="default"/>
                <w:szCs w:val="21"/>
                <w:lang w:val="en-US" w:eastAsia="zh-CN"/>
              </w:rPr>
              <w:t>2017</w:t>
            </w:r>
            <w:r>
              <w:rPr>
                <w:rFonts w:hint="eastAsia"/>
                <w:szCs w:val="21"/>
                <w:lang w:val="en-US" w:eastAsia="zh-CN"/>
              </w:rPr>
              <w:t>年版）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6</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易爆炸重点危险化学品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不涉及</w:t>
            </w:r>
          </w:p>
        </w:tc>
        <w:tc>
          <w:tcPr>
            <w:tcW w:w="408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《关于加强易爆炸重点危险化学品安全生产管理工作的通知》（鲁安监发</w:t>
            </w:r>
            <w:r>
              <w:rPr>
                <w:rFonts w:hint="default"/>
                <w:szCs w:val="21"/>
                <w:lang w:val="en-US" w:eastAsia="zh-CN"/>
              </w:rPr>
              <w:t>[2010]62</w:t>
            </w:r>
            <w:r>
              <w:rPr>
                <w:rFonts w:hint="eastAsia"/>
                <w:szCs w:val="21"/>
                <w:lang w:val="en-US" w:eastAsia="zh-CN"/>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7</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重点监管危险化学品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原油、天然气、硫化氢、二氧化硫</w:t>
            </w:r>
          </w:p>
        </w:tc>
        <w:tc>
          <w:tcPr>
            <w:tcW w:w="408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《重点监管的危险化学品名录》（</w:t>
            </w:r>
            <w:r>
              <w:rPr>
                <w:rFonts w:hint="default"/>
                <w:szCs w:val="21"/>
                <w:lang w:val="en-US" w:eastAsia="zh-CN"/>
              </w:rPr>
              <w:t>2013</w:t>
            </w:r>
            <w:r>
              <w:rPr>
                <w:rFonts w:hint="eastAsia"/>
                <w:szCs w:val="21"/>
                <w:lang w:val="en-US" w:eastAsia="zh-CN"/>
              </w:rPr>
              <w:t>完整版）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8</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监控化学品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不涉及</w:t>
            </w:r>
          </w:p>
        </w:tc>
        <w:tc>
          <w:tcPr>
            <w:tcW w:w="408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《各类监控化学品名录》（工业和信息化部令第</w:t>
            </w:r>
            <w:r>
              <w:rPr>
                <w:rFonts w:hint="default"/>
                <w:szCs w:val="21"/>
                <w:lang w:val="en-US" w:eastAsia="zh-CN"/>
              </w:rPr>
              <w:t>52</w:t>
            </w:r>
            <w:r>
              <w:rPr>
                <w:rFonts w:hint="eastAsia"/>
                <w:szCs w:val="21"/>
                <w:lang w:val="en-US" w:eastAsia="zh-CN"/>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9</w:t>
            </w:r>
          </w:p>
        </w:tc>
        <w:tc>
          <w:tcPr>
            <w:tcW w:w="173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特别管控危险化学品</w:t>
            </w:r>
          </w:p>
        </w:tc>
        <w:tc>
          <w:tcPr>
            <w:tcW w:w="199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不涉及</w:t>
            </w:r>
          </w:p>
        </w:tc>
        <w:tc>
          <w:tcPr>
            <w:tcW w:w="408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szCs w:val="21"/>
                <w:lang w:val="en-US" w:eastAsia="zh-CN"/>
              </w:rPr>
            </w:pPr>
            <w:r>
              <w:rPr>
                <w:rFonts w:hint="eastAsia"/>
                <w:szCs w:val="21"/>
                <w:lang w:val="en-US" w:eastAsia="zh-CN"/>
              </w:rPr>
              <w:t>应急管理部、工业和信息化部、公安部、交通运输部公告</w:t>
            </w:r>
            <w:r>
              <w:rPr>
                <w:rFonts w:hint="default"/>
                <w:szCs w:val="21"/>
                <w:lang w:val="en-US" w:eastAsia="zh-CN"/>
              </w:rPr>
              <w:t>2020</w:t>
            </w:r>
            <w:r>
              <w:rPr>
                <w:rFonts w:hint="eastAsia"/>
                <w:szCs w:val="21"/>
                <w:lang w:val="en-US" w:eastAsia="zh-CN"/>
              </w:rPr>
              <w:t>年 第</w:t>
            </w:r>
            <w:r>
              <w:rPr>
                <w:rFonts w:hint="default"/>
                <w:szCs w:val="21"/>
                <w:lang w:val="en-US" w:eastAsia="zh-CN"/>
              </w:rPr>
              <w:t>3</w:t>
            </w:r>
            <w:r>
              <w:rPr>
                <w:rFonts w:hint="eastAsia"/>
                <w:szCs w:val="21"/>
                <w:lang w:val="en-US" w:eastAsia="zh-CN"/>
              </w:rPr>
              <w:t>号</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jc w:val="center"/>
        <w:textAlignment w:val="auto"/>
        <w:rPr>
          <w:b/>
          <w:bCs/>
          <w:sz w:val="24"/>
          <w:szCs w:val="28"/>
        </w:rPr>
      </w:pPr>
      <w:r>
        <w:rPr>
          <w:rFonts w:hint="eastAsia"/>
          <w:b/>
          <w:bCs/>
          <w:sz w:val="24"/>
          <w:szCs w:val="28"/>
        </w:rPr>
        <w:t>表3</w:t>
      </w:r>
      <w:r>
        <w:rPr>
          <w:rFonts w:hint="eastAsia"/>
          <w:b/>
          <w:bCs/>
          <w:sz w:val="24"/>
          <w:szCs w:val="28"/>
          <w:lang w:val="en-US" w:eastAsia="zh-CN"/>
        </w:rPr>
        <w:t>.1</w:t>
      </w:r>
      <w:r>
        <w:rPr>
          <w:rFonts w:hint="eastAsia"/>
          <w:b/>
          <w:bCs/>
          <w:sz w:val="24"/>
          <w:szCs w:val="28"/>
        </w:rPr>
        <w:t>-</w:t>
      </w:r>
      <w:r>
        <w:rPr>
          <w:rFonts w:hint="eastAsia"/>
          <w:b/>
          <w:bCs/>
          <w:sz w:val="24"/>
          <w:szCs w:val="28"/>
          <w:lang w:val="en-US" w:eastAsia="zh-CN"/>
        </w:rPr>
        <w:t>2</w:t>
      </w:r>
      <w:r>
        <w:rPr>
          <w:rFonts w:hint="eastAsia"/>
          <w:b/>
          <w:bCs/>
          <w:sz w:val="24"/>
          <w:szCs w:val="28"/>
        </w:rPr>
        <w:t xml:space="preserve"> </w:t>
      </w:r>
      <w:r>
        <w:rPr>
          <w:rFonts w:hint="eastAsia"/>
          <w:b/>
          <w:bCs/>
          <w:sz w:val="24"/>
          <w:szCs w:val="28"/>
          <w:lang w:val="en-US" w:eastAsia="zh-CN"/>
        </w:rPr>
        <w:t>主要化学品危险特性情况</w:t>
      </w:r>
      <w:r>
        <w:rPr>
          <w:rFonts w:hint="eastAsia"/>
          <w:b/>
          <w:bCs/>
          <w:sz w:val="24"/>
          <w:szCs w:val="28"/>
        </w:rPr>
        <w:t>一览表</w:t>
      </w:r>
    </w:p>
    <w:tbl>
      <w:tblPr>
        <w:tblStyle w:val="5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91"/>
        <w:gridCol w:w="3396"/>
        <w:gridCol w:w="2032"/>
        <w:gridCol w:w="11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1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b/>
                <w:bCs/>
                <w:szCs w:val="21"/>
                <w:lang w:val="en-US" w:eastAsia="zh-CN"/>
              </w:rPr>
            </w:pPr>
            <w:r>
              <w:rPr>
                <w:rFonts w:hint="eastAsia"/>
                <w:b/>
                <w:bCs/>
                <w:szCs w:val="21"/>
                <w:lang w:val="en-US" w:eastAsia="zh-CN"/>
              </w:rPr>
              <w:t>序号</w:t>
            </w:r>
          </w:p>
        </w:tc>
        <w:tc>
          <w:tcPr>
            <w:tcW w:w="119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b/>
                <w:bCs/>
                <w:szCs w:val="21"/>
                <w:lang w:val="en-US" w:eastAsia="zh-CN"/>
              </w:rPr>
            </w:pPr>
            <w:r>
              <w:rPr>
                <w:rFonts w:hint="eastAsia"/>
                <w:b/>
                <w:bCs/>
                <w:szCs w:val="21"/>
                <w:lang w:val="en-US" w:eastAsia="zh-CN"/>
              </w:rPr>
              <w:t>物质名称</w:t>
            </w:r>
          </w:p>
        </w:tc>
        <w:tc>
          <w:tcPr>
            <w:tcW w:w="3396"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b/>
                <w:bCs/>
                <w:szCs w:val="21"/>
                <w:lang w:val="en-US" w:eastAsia="zh-CN"/>
              </w:rPr>
            </w:pPr>
            <w:r>
              <w:rPr>
                <w:rFonts w:hint="eastAsia"/>
                <w:b/>
                <w:bCs/>
                <w:szCs w:val="21"/>
                <w:lang w:val="en-US" w:eastAsia="zh-CN"/>
              </w:rPr>
              <w:t>危险性类别</w:t>
            </w:r>
          </w:p>
        </w:tc>
        <w:tc>
          <w:tcPr>
            <w:tcW w:w="203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b/>
                <w:bCs/>
                <w:kern w:val="2"/>
                <w:sz w:val="21"/>
                <w:szCs w:val="21"/>
                <w:lang w:val="en-US" w:eastAsia="zh-CN" w:bidi="ar-SA"/>
              </w:rPr>
            </w:pPr>
            <w:r>
              <w:rPr>
                <w:rFonts w:hint="eastAsia"/>
                <w:b/>
                <w:bCs/>
                <w:szCs w:val="21"/>
                <w:lang w:val="en-US" w:eastAsia="zh-CN"/>
              </w:rPr>
              <w:t>主要危险特性</w:t>
            </w:r>
          </w:p>
        </w:tc>
        <w:tc>
          <w:tcPr>
            <w:tcW w:w="119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b/>
                <w:bCs/>
                <w:szCs w:val="21"/>
                <w:lang w:val="en-US" w:eastAsia="zh-CN"/>
              </w:rPr>
            </w:pPr>
            <w:r>
              <w:rPr>
                <w:rFonts w:hint="eastAsia"/>
                <w:b/>
                <w:bCs/>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1</w:t>
            </w:r>
          </w:p>
        </w:tc>
        <w:tc>
          <w:tcPr>
            <w:tcW w:w="119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原油</w:t>
            </w:r>
          </w:p>
        </w:tc>
        <w:tc>
          <w:tcPr>
            <w:tcW w:w="3396" w:type="dxa"/>
            <w:tcBorders>
              <w:tl2br w:val="nil"/>
              <w:tr2bl w:val="nil"/>
            </w:tcBorders>
            <w:vAlign w:val="center"/>
          </w:tcPr>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000000"/>
                <w:kern w:val="0"/>
                <w:sz w:val="20"/>
                <w:szCs w:val="20"/>
                <w:lang w:eastAsia="zh-CN"/>
              </w:rPr>
            </w:pPr>
            <w:r>
              <w:rPr>
                <w:rFonts w:hint="default" w:ascii="Times New Roman" w:hAnsi="Times New Roman" w:cs="Times New Roman"/>
                <w:color w:val="000000"/>
                <w:kern w:val="0"/>
                <w:sz w:val="20"/>
                <w:szCs w:val="20"/>
              </w:rPr>
              <w:t>（1）闪点＜23℃和初沸点≤35℃</w:t>
            </w:r>
            <w:r>
              <w:rPr>
                <w:rFonts w:hint="eastAsia" w:cs="Times New Roman"/>
                <w:color w:val="000000"/>
                <w:kern w:val="0"/>
                <w:sz w:val="20"/>
                <w:szCs w:val="20"/>
                <w:lang w:eastAsia="zh-CN"/>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易燃液体</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类别1</w:t>
            </w:r>
          </w:p>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000000"/>
                <w:kern w:val="0"/>
                <w:sz w:val="20"/>
                <w:szCs w:val="20"/>
                <w:lang w:eastAsia="zh-CN"/>
              </w:rPr>
            </w:pPr>
            <w:r>
              <w:rPr>
                <w:rFonts w:hint="default" w:ascii="Times New Roman" w:hAnsi="Times New Roman" w:cs="Times New Roman"/>
                <w:color w:val="000000"/>
                <w:kern w:val="0"/>
                <w:sz w:val="20"/>
                <w:szCs w:val="20"/>
              </w:rPr>
              <w:t>（2）闪点＜23℃和初沸点＞35℃</w:t>
            </w:r>
            <w:r>
              <w:rPr>
                <w:rFonts w:hint="eastAsia" w:cs="Times New Roman"/>
                <w:color w:val="000000"/>
                <w:kern w:val="0"/>
                <w:sz w:val="20"/>
                <w:szCs w:val="20"/>
                <w:lang w:eastAsia="zh-CN"/>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易燃液体</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类别2</w:t>
            </w:r>
          </w:p>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000000"/>
                <w:kern w:val="0"/>
                <w:sz w:val="20"/>
                <w:szCs w:val="20"/>
                <w:lang w:eastAsia="zh-CN"/>
              </w:rPr>
            </w:pPr>
            <w:r>
              <w:rPr>
                <w:rFonts w:hint="default" w:ascii="Times New Roman" w:hAnsi="Times New Roman" w:cs="Times New Roman"/>
                <w:color w:val="000000"/>
                <w:kern w:val="0"/>
                <w:sz w:val="20"/>
                <w:szCs w:val="20"/>
              </w:rPr>
              <w:t>（3）23℃≤闪点≤60℃</w:t>
            </w:r>
            <w:r>
              <w:rPr>
                <w:rFonts w:hint="eastAsia" w:cs="Times New Roman"/>
                <w:color w:val="000000"/>
                <w:kern w:val="0"/>
                <w:sz w:val="20"/>
                <w:szCs w:val="20"/>
                <w:lang w:eastAsia="zh-CN"/>
              </w:rPr>
              <w:t>：</w:t>
            </w:r>
          </w:p>
          <w:p>
            <w:pPr>
              <w:keepNext w:val="0"/>
              <w:keepLines w:val="0"/>
              <w:suppressLineNumbers w:val="0"/>
              <w:adjustRightInd w:val="0"/>
              <w:snapToGrid w:val="0"/>
              <w:spacing w:before="62" w:beforeLines="20" w:beforeAutospacing="0" w:after="62" w:afterLines="20" w:afterAutospacing="0"/>
              <w:ind w:left="0" w:right="0"/>
              <w:jc w:val="both"/>
              <w:rPr>
                <w:rFonts w:hint="default" w:ascii="Times New Roman" w:hAnsi="Times New Roman" w:cs="Times New Roman"/>
                <w:szCs w:val="21"/>
                <w:lang w:val="en-US" w:eastAsia="zh-CN"/>
              </w:rPr>
            </w:pPr>
            <w:r>
              <w:rPr>
                <w:rFonts w:hint="default" w:ascii="Times New Roman" w:hAnsi="Times New Roman" w:cs="Times New Roman"/>
                <w:color w:val="000000"/>
                <w:kern w:val="0"/>
                <w:sz w:val="20"/>
                <w:szCs w:val="20"/>
              </w:rPr>
              <w:t>易燃液体</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类别3</w:t>
            </w:r>
          </w:p>
        </w:tc>
        <w:tc>
          <w:tcPr>
            <w:tcW w:w="203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易燃、有毒</w:t>
            </w:r>
          </w:p>
        </w:tc>
        <w:tc>
          <w:tcPr>
            <w:tcW w:w="119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2</w:t>
            </w:r>
          </w:p>
        </w:tc>
        <w:tc>
          <w:tcPr>
            <w:tcW w:w="119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天然气</w:t>
            </w:r>
          </w:p>
        </w:tc>
        <w:tc>
          <w:tcPr>
            <w:tcW w:w="3396" w:type="dxa"/>
            <w:tcBorders>
              <w:tl2br w:val="nil"/>
              <w:tr2bl w:val="nil"/>
            </w:tcBorders>
            <w:vAlign w:val="center"/>
          </w:tcPr>
          <w:p>
            <w:pPr>
              <w:keepNext w:val="0"/>
              <w:keepLines w:val="0"/>
              <w:widowControl/>
              <w:suppressLineNumbers w:val="0"/>
              <w:spacing w:before="0" w:beforeAutospacing="0" w:after="0" w:afterAutospacing="0" w:line="31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易燃气体</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类别1</w:t>
            </w:r>
          </w:p>
          <w:p>
            <w:pPr>
              <w:keepNext w:val="0"/>
              <w:keepLines w:val="0"/>
              <w:suppressLineNumbers w:val="0"/>
              <w:adjustRightInd w:val="0"/>
              <w:snapToGrid w:val="0"/>
              <w:spacing w:before="62" w:beforeLines="20" w:beforeAutospacing="0" w:after="62" w:afterLines="20" w:afterAutospacing="0"/>
              <w:ind w:left="0" w:right="0"/>
              <w:jc w:val="both"/>
              <w:rPr>
                <w:rFonts w:hint="default" w:ascii="Times New Roman" w:hAnsi="Times New Roman" w:cs="Times New Roman"/>
                <w:szCs w:val="21"/>
                <w:lang w:val="en-US" w:eastAsia="zh-CN"/>
              </w:rPr>
            </w:pPr>
            <w:r>
              <w:rPr>
                <w:rFonts w:hint="default" w:ascii="Times New Roman" w:hAnsi="Times New Roman" w:cs="Times New Roman"/>
                <w:color w:val="000000"/>
                <w:kern w:val="0"/>
                <w:sz w:val="20"/>
                <w:szCs w:val="20"/>
              </w:rPr>
              <w:t>加压气体</w:t>
            </w:r>
          </w:p>
        </w:tc>
        <w:tc>
          <w:tcPr>
            <w:tcW w:w="203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易燃、易爆</w:t>
            </w:r>
          </w:p>
        </w:tc>
        <w:tc>
          <w:tcPr>
            <w:tcW w:w="119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3</w:t>
            </w:r>
          </w:p>
        </w:tc>
        <w:tc>
          <w:tcPr>
            <w:tcW w:w="119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硫化氢</w:t>
            </w:r>
          </w:p>
        </w:tc>
        <w:tc>
          <w:tcPr>
            <w:tcW w:w="3396" w:type="dxa"/>
            <w:tcBorders>
              <w:tl2br w:val="nil"/>
              <w:tr2bl w:val="nil"/>
            </w:tcBorders>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易燃气体</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类别1</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加压气体</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急性毒性-吸入</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类别2*</w:t>
            </w:r>
          </w:p>
          <w:p>
            <w:pPr>
              <w:keepNext w:val="0"/>
              <w:keepLines w:val="0"/>
              <w:suppressLineNumbers w:val="0"/>
              <w:adjustRightInd w:val="0"/>
              <w:snapToGrid w:val="0"/>
              <w:spacing w:before="62" w:beforeLines="20" w:beforeAutospacing="0" w:after="62" w:afterLines="20" w:afterAutospacing="0"/>
              <w:ind w:left="0" w:right="0"/>
              <w:jc w:val="both"/>
              <w:rPr>
                <w:rFonts w:hint="default" w:ascii="Times New Roman" w:hAnsi="Times New Roman" w:cs="Times New Roman"/>
                <w:szCs w:val="21"/>
                <w:lang w:val="en-US" w:eastAsia="zh-CN"/>
              </w:rPr>
            </w:pPr>
            <w:r>
              <w:rPr>
                <w:rFonts w:hint="default" w:ascii="Times New Roman" w:hAnsi="Times New Roman" w:cs="Times New Roman"/>
                <w:color w:val="000000"/>
                <w:kern w:val="0"/>
                <w:sz w:val="20"/>
                <w:szCs w:val="20"/>
              </w:rPr>
              <w:t>危害水生环境-急性危害</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类别1</w:t>
            </w:r>
          </w:p>
        </w:tc>
        <w:tc>
          <w:tcPr>
            <w:tcW w:w="203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易燃、易爆、有毒</w:t>
            </w:r>
          </w:p>
        </w:tc>
        <w:tc>
          <w:tcPr>
            <w:tcW w:w="119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4</w:t>
            </w:r>
          </w:p>
        </w:tc>
        <w:tc>
          <w:tcPr>
            <w:tcW w:w="1191"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二氧化硫</w:t>
            </w:r>
          </w:p>
        </w:tc>
        <w:tc>
          <w:tcPr>
            <w:tcW w:w="3396" w:type="dxa"/>
            <w:tcBorders>
              <w:tl2br w:val="nil"/>
              <w:tr2bl w:val="nil"/>
            </w:tcBorders>
            <w:vAlign w:val="center"/>
          </w:tcPr>
          <w:p>
            <w:pPr>
              <w:keepNext w:val="0"/>
              <w:keepLines w:val="0"/>
              <w:widowControl/>
              <w:suppressLineNumbers w:val="0"/>
              <w:spacing w:before="0" w:beforeAutospacing="0" w:after="0" w:afterAutospacing="0" w:line="34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加压气体</w:t>
            </w:r>
          </w:p>
          <w:p>
            <w:pPr>
              <w:keepNext w:val="0"/>
              <w:keepLines w:val="0"/>
              <w:widowControl/>
              <w:suppressLineNumbers w:val="0"/>
              <w:spacing w:before="0" w:beforeAutospacing="0" w:after="0" w:afterAutospacing="0" w:line="34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急性毒性-吸入</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类别3</w:t>
            </w:r>
          </w:p>
          <w:p>
            <w:pPr>
              <w:keepNext w:val="0"/>
              <w:keepLines w:val="0"/>
              <w:widowControl/>
              <w:suppressLineNumbers w:val="0"/>
              <w:spacing w:before="0" w:beforeAutospacing="0" w:after="0" w:afterAutospacing="0" w:line="340" w:lineRule="exact"/>
              <w:ind w:left="0" w:right="0"/>
              <w:rPr>
                <w:rFonts w:hint="default" w:ascii="Times New Roman" w:hAnsi="Times New Roman" w:cs="Times New Roman"/>
                <w:color w:val="000000"/>
                <w:kern w:val="0"/>
                <w:sz w:val="20"/>
                <w:szCs w:val="20"/>
              </w:rPr>
            </w:pPr>
            <w:r>
              <w:rPr>
                <w:rFonts w:hint="default" w:ascii="Times New Roman" w:hAnsi="Times New Roman" w:cs="Times New Roman"/>
                <w:color w:val="000000"/>
                <w:kern w:val="0"/>
                <w:sz w:val="20"/>
                <w:szCs w:val="20"/>
              </w:rPr>
              <w:t>皮肤腐蚀/刺激</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类别1B</w:t>
            </w:r>
          </w:p>
          <w:p>
            <w:pPr>
              <w:keepNext w:val="0"/>
              <w:keepLines w:val="0"/>
              <w:suppressLineNumbers w:val="0"/>
              <w:adjustRightInd w:val="0"/>
              <w:snapToGrid w:val="0"/>
              <w:spacing w:before="62" w:beforeLines="20" w:beforeAutospacing="0" w:after="62" w:afterLines="20" w:afterAutospacing="0"/>
              <w:ind w:left="0" w:right="0"/>
              <w:jc w:val="both"/>
              <w:rPr>
                <w:rFonts w:hint="default" w:ascii="Times New Roman" w:hAnsi="Times New Roman" w:cs="Times New Roman"/>
                <w:szCs w:val="21"/>
                <w:lang w:val="en-US" w:eastAsia="zh-CN"/>
              </w:rPr>
            </w:pPr>
            <w:r>
              <w:rPr>
                <w:rFonts w:hint="default" w:ascii="Times New Roman" w:hAnsi="Times New Roman" w:cs="Times New Roman"/>
                <w:color w:val="000000"/>
                <w:kern w:val="0"/>
                <w:sz w:val="20"/>
                <w:szCs w:val="20"/>
              </w:rPr>
              <w:t>严重眼损伤/眼刺激</w:t>
            </w:r>
            <w:r>
              <w:rPr>
                <w:rFonts w:hint="eastAsia" w:ascii="Times New Roman" w:hAnsi="Times New Roman" w:cs="Times New Roman"/>
                <w:color w:val="000000"/>
                <w:kern w:val="0"/>
                <w:sz w:val="20"/>
                <w:szCs w:val="20"/>
                <w:lang w:eastAsia="zh-CN"/>
              </w:rPr>
              <w:t>，</w:t>
            </w:r>
            <w:r>
              <w:rPr>
                <w:rFonts w:hint="default" w:ascii="Times New Roman" w:hAnsi="Times New Roman" w:cs="Times New Roman"/>
                <w:color w:val="000000"/>
                <w:kern w:val="0"/>
                <w:sz w:val="20"/>
                <w:szCs w:val="20"/>
              </w:rPr>
              <w:t>类别1</w:t>
            </w:r>
          </w:p>
        </w:tc>
        <w:tc>
          <w:tcPr>
            <w:tcW w:w="203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有毒</w:t>
            </w:r>
          </w:p>
        </w:tc>
        <w:tc>
          <w:tcPr>
            <w:tcW w:w="1192" w:type="dxa"/>
            <w:tcBorders>
              <w:tl2br w:val="nil"/>
              <w:tr2bl w:val="nil"/>
            </w:tcBorders>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eastAsia="宋体"/>
          <w:sz w:val="28"/>
          <w:lang w:eastAsia="zh-CN"/>
        </w:rPr>
      </w:pPr>
      <w:r>
        <w:rPr>
          <w:rFonts w:hint="eastAsia"/>
          <w:sz w:val="28"/>
          <w:szCs w:val="28"/>
        </w:rPr>
        <w:t>主要危险、有害物质的危险、危害特性如下</w:t>
      </w:r>
      <w:r>
        <w:rPr>
          <w:rFonts w:hint="eastAsia"/>
          <w:sz w:val="28"/>
          <w:szCs w:val="28"/>
          <w:lang w:eastAsia="zh-CN"/>
        </w:rPr>
        <w:t>：</w:t>
      </w:r>
    </w:p>
    <w:p>
      <w:pPr>
        <w:keepNext/>
        <w:keepLines/>
        <w:adjustRightInd w:val="0"/>
        <w:snapToGrid w:val="0"/>
        <w:spacing w:line="360" w:lineRule="auto"/>
        <w:outlineLvl w:val="2"/>
        <w:rPr>
          <w:rFonts w:eastAsia="黑体"/>
          <w:bCs/>
          <w:snapToGrid w:val="0"/>
          <w:kern w:val="0"/>
          <w:sz w:val="28"/>
          <w:szCs w:val="28"/>
        </w:rPr>
      </w:pPr>
      <w:r>
        <w:rPr>
          <w:rFonts w:hint="eastAsia" w:eastAsia="黑体"/>
          <w:bCs/>
          <w:snapToGrid w:val="0"/>
          <w:kern w:val="0"/>
          <w:sz w:val="28"/>
          <w:szCs w:val="28"/>
        </w:rPr>
        <w:t xml:space="preserve">3.1.1 </w:t>
      </w:r>
      <w:r>
        <w:rPr>
          <w:rFonts w:eastAsia="黑体"/>
          <w:bCs/>
          <w:snapToGrid w:val="0"/>
          <w:kern w:val="0"/>
          <w:sz w:val="28"/>
          <w:szCs w:val="28"/>
        </w:rPr>
        <w:t>原油</w:t>
      </w:r>
    </w:p>
    <w:p>
      <w:pPr>
        <w:adjustRightInd w:val="0"/>
        <w:snapToGrid w:val="0"/>
        <w:spacing w:line="360" w:lineRule="auto"/>
        <w:ind w:firstLine="560" w:firstLineChars="200"/>
        <w:rPr>
          <w:sz w:val="28"/>
          <w:szCs w:val="28"/>
        </w:rPr>
      </w:pPr>
      <w:r>
        <w:rPr>
          <w:rFonts w:hint="eastAsia"/>
          <w:sz w:val="28"/>
          <w:szCs w:val="28"/>
        </w:rPr>
        <w:t>原油是由各种烃类组成的一种复杂混合物，含有少量硫、氮、氧有机物及微量金属。外观是一种流动和半流动的粘稠液体，颜色大部分是暗色的（从褐色至深黑色），具有一定的火灾危险性。</w:t>
      </w:r>
    </w:p>
    <w:p>
      <w:pPr>
        <w:adjustRightInd w:val="0"/>
        <w:snapToGrid w:val="0"/>
        <w:spacing w:line="360" w:lineRule="auto"/>
        <w:ind w:firstLine="560" w:firstLineChars="200"/>
        <w:rPr>
          <w:sz w:val="28"/>
          <w:szCs w:val="28"/>
        </w:rPr>
      </w:pPr>
      <w:r>
        <w:rPr>
          <w:rFonts w:hint="eastAsia"/>
          <w:sz w:val="28"/>
          <w:szCs w:val="28"/>
        </w:rPr>
        <w:t>原油的主要危险有害特性见下表。</w:t>
      </w:r>
    </w:p>
    <w:p>
      <w:pPr>
        <w:pStyle w:val="5"/>
        <w:adjustRightInd w:val="0"/>
        <w:snapToGrid w:val="0"/>
        <w:spacing w:line="360" w:lineRule="auto"/>
        <w:ind w:firstLine="480"/>
        <w:jc w:val="center"/>
        <w:rPr>
          <w:b/>
          <w:bCs/>
          <w:sz w:val="24"/>
          <w:szCs w:val="28"/>
        </w:rPr>
      </w:pPr>
      <w:r>
        <w:rPr>
          <w:rFonts w:hint="eastAsia"/>
          <w:b/>
          <w:bCs/>
          <w:sz w:val="24"/>
          <w:szCs w:val="28"/>
        </w:rPr>
        <w:t>表3</w:t>
      </w:r>
      <w:r>
        <w:rPr>
          <w:rFonts w:hint="eastAsia"/>
          <w:b/>
          <w:bCs/>
          <w:sz w:val="24"/>
          <w:szCs w:val="28"/>
          <w:lang w:val="en-US" w:eastAsia="zh-CN"/>
        </w:rPr>
        <w:t>.1</w:t>
      </w:r>
      <w:r>
        <w:rPr>
          <w:rFonts w:hint="eastAsia"/>
          <w:b/>
          <w:bCs/>
          <w:sz w:val="24"/>
          <w:szCs w:val="28"/>
        </w:rPr>
        <w:t>-</w:t>
      </w:r>
      <w:r>
        <w:rPr>
          <w:rFonts w:hint="eastAsia"/>
          <w:b/>
          <w:bCs/>
          <w:sz w:val="24"/>
          <w:szCs w:val="28"/>
          <w:lang w:val="en-US" w:eastAsia="zh-CN"/>
        </w:rPr>
        <w:t>3</w:t>
      </w:r>
      <w:r>
        <w:rPr>
          <w:rFonts w:hint="eastAsia"/>
          <w:b/>
          <w:bCs/>
          <w:sz w:val="24"/>
          <w:szCs w:val="28"/>
        </w:rPr>
        <w:t xml:space="preserve"> 原油主要危险有害特性一览表</w:t>
      </w:r>
    </w:p>
    <w:tbl>
      <w:tblPr>
        <w:tblStyle w:val="5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2"/>
        <w:gridCol w:w="2003"/>
        <w:gridCol w:w="1190"/>
        <w:gridCol w:w="1133"/>
        <w:gridCol w:w="709"/>
        <w:gridCol w:w="569"/>
        <w:gridCol w:w="937"/>
        <w:gridCol w:w="13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标识</w:t>
            </w: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中文名</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原油</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CAS</w:t>
            </w:r>
          </w:p>
        </w:tc>
        <w:tc>
          <w:tcPr>
            <w:tcW w:w="28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8002-05-9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分子式</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lang w:val="en-US" w:eastAsia="zh-CN"/>
              </w:rPr>
              <w:t>危化品序</w:t>
            </w:r>
            <w:r>
              <w:rPr>
                <w:rFonts w:hint="eastAsia"/>
                <w:szCs w:val="21"/>
              </w:rPr>
              <w:t>号</w:t>
            </w:r>
          </w:p>
        </w:tc>
        <w:tc>
          <w:tcPr>
            <w:tcW w:w="28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Cs w:val="21"/>
                <w:lang w:val="en-US" w:eastAsia="zh-CN"/>
              </w:rPr>
            </w:pPr>
            <w:r>
              <w:rPr>
                <w:rFonts w:hint="eastAsia"/>
                <w:szCs w:val="21"/>
                <w:lang w:val="en-US" w:eastAsia="zh-CN"/>
              </w:rPr>
              <w:t>1967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分子量</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UN编号</w:t>
            </w:r>
          </w:p>
        </w:tc>
        <w:tc>
          <w:tcPr>
            <w:tcW w:w="28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1267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理化性质</w:t>
            </w: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外观性状</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红色、红棕色或黑色有绿色荧光的稠厚性油状液体。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主要用途</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可分离出多种有机原料，如汽油，苯、煤油、沥青等。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溶解性</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不溶于水，溶于多数有机溶剂。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熔点（℃）</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6</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燃烧热（kJ/mol</w:t>
            </w:r>
            <w:r>
              <w:rPr>
                <w:rFonts w:hint="default"/>
                <w:szCs w:val="21"/>
              </w:rPr>
              <w:t>）</w:t>
            </w:r>
          </w:p>
        </w:tc>
        <w:tc>
          <w:tcPr>
            <w:tcW w:w="28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沸点（℃）</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自常温至500℃以上</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饱和蒸气压（kPa）</w:t>
            </w:r>
          </w:p>
        </w:tc>
        <w:tc>
          <w:tcPr>
            <w:tcW w:w="28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相对密度（水=1）</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0.78～0.97</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临界温度（℃）</w:t>
            </w:r>
          </w:p>
        </w:tc>
        <w:tc>
          <w:tcPr>
            <w:tcW w:w="28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相对密度（空气=1）</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临界压力（MPa）</w:t>
            </w:r>
          </w:p>
        </w:tc>
        <w:tc>
          <w:tcPr>
            <w:tcW w:w="28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燃烧爆炸危险性</w:t>
            </w: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eastAsia="zh-CN"/>
              </w:rPr>
            </w:pPr>
            <w:r>
              <w:rPr>
                <w:rFonts w:hint="eastAsia"/>
                <w:szCs w:val="21"/>
              </w:rPr>
              <w:t>燃烧性</w:t>
            </w:r>
            <w:r>
              <w:rPr>
                <w:rFonts w:hint="eastAsia"/>
                <w:szCs w:val="21"/>
                <w:lang w:eastAsia="zh-CN"/>
              </w:rPr>
              <w:t>：</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可燃</w:t>
            </w:r>
          </w:p>
        </w:tc>
        <w:tc>
          <w:tcPr>
            <w:tcW w:w="1842" w:type="dxa"/>
            <w:gridSpan w:val="2"/>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危险特性</w:t>
            </w:r>
          </w:p>
        </w:tc>
        <w:tc>
          <w:tcPr>
            <w:tcW w:w="2885" w:type="dxa"/>
            <w:gridSpan w:val="3"/>
            <w:vMerge w:val="restart"/>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其蒸气与空气形成爆炸性混合物，遇明火、高热能引起燃烧爆炸。与氧化剂能发生强烈反应，若遇高热，容器内压增大，有开裂和爆炸的危险。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建规火险分级</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5"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闪点（℃）</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5"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引燃温度（℃）</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350</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5"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爆炸下限（V/%）</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1.1</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5"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爆炸上限（V/%）</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8.7</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燃烧（分解）产物</w:t>
            </w:r>
          </w:p>
        </w:tc>
        <w:tc>
          <w:tcPr>
            <w:tcW w:w="2885" w:type="dxa"/>
            <w:gridSpan w:val="3"/>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稳定性</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稳定</w:t>
            </w:r>
          </w:p>
        </w:tc>
        <w:tc>
          <w:tcPr>
            <w:tcW w:w="113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cs="宋体"/>
                <w:szCs w:val="21"/>
              </w:rPr>
            </w:pPr>
            <w:r>
              <w:rPr>
                <w:rFonts w:hint="default" w:cs="宋体"/>
                <w:szCs w:val="21"/>
              </w:rPr>
              <w:t>灭火方法</w:t>
            </w:r>
          </w:p>
        </w:tc>
        <w:tc>
          <w:tcPr>
            <w:tcW w:w="3594" w:type="dxa"/>
            <w:gridSpan w:val="4"/>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泡沫、干粉、二氧化碳，砂土。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聚合危害</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不能出现</w:t>
            </w:r>
          </w:p>
        </w:tc>
        <w:tc>
          <w:tcPr>
            <w:tcW w:w="2411"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禁忌物</w:t>
            </w:r>
          </w:p>
        </w:tc>
        <w:tc>
          <w:tcPr>
            <w:tcW w:w="231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强氧化剂。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包装与储运</w:t>
            </w: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rPr>
              <w:t>危险货物包装标志</w:t>
            </w:r>
          </w:p>
        </w:tc>
        <w:tc>
          <w:tcPr>
            <w:tcW w:w="1190" w:type="dxa"/>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szCs w:val="21"/>
              </w:rPr>
              <w:t>7</w:t>
            </w:r>
          </w:p>
        </w:tc>
        <w:tc>
          <w:tcPr>
            <w:tcW w:w="3348"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包装类别</w:t>
            </w:r>
          </w:p>
        </w:tc>
        <w:tc>
          <w:tcPr>
            <w:tcW w:w="137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eastAsia="zh-CN"/>
              </w:rPr>
            </w:pPr>
            <w:r>
              <w:rPr>
                <w:rFonts w:hint="eastAsia"/>
                <w:szCs w:val="21"/>
              </w:rPr>
              <w:t>储运注意事项</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储存于阴凉、通风仓间内。远寓火种、热源。仓温不宜超过30℃。保持容器密封。应与氧化剂、酸类分开存放。储存间内的照明、通风等设施应采用防爆型，开关设在仓外。配备相应品种和数量的消防器材。罐储时要有防火防爆技术措施。禁止使用易产生火花的机械设备和工具。灌装时应注意流速（不超过3m/s），且有接地装置，防止静电积聚。搬运时要轻装轻卸，防止包装及容器损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毒性与健康危害性</w:t>
            </w: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接触限值</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毒性</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LD</w:t>
            </w:r>
            <w:r>
              <w:rPr>
                <w:rFonts w:hint="eastAsia"/>
                <w:szCs w:val="21"/>
                <w:vertAlign w:val="subscript"/>
              </w:rPr>
              <w:t>50</w:t>
            </w:r>
            <w:r>
              <w:rPr>
                <w:rFonts w:hint="eastAsia"/>
                <w:szCs w:val="21"/>
                <w:lang w:eastAsia="zh-CN"/>
              </w:rPr>
              <w:t>：</w:t>
            </w:r>
            <w:r>
              <w:rPr>
                <w:rFonts w:hint="eastAsia"/>
                <w:szCs w:val="21"/>
              </w:rPr>
              <w:t>500～5000mg/kg（哺乳动物吸入）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健康危害</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原油蒸气可引起眼及上呼吸道刺激症状，如浓度过高，几分钟即可引起呼吸困难、紫绀等缺氧症状。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侵入途径</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吸入 食入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急救</w:t>
            </w: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皮肤接触</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脱去污染的衣着，用肥皂水及清水彻底冲洗。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眼睛接触</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立即提起眼睑，用流动清水冲洗。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吸入</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迅速脱离现场至空气新鲜处。注意保暖，呼吸困难时给输氧。呼吸停止时，立即进行人工呼吸。就医。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食入</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误服者给充分漱口、饮水，就医。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防护措施</w:t>
            </w: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工程控制</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生产过程密闭，全面通风。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呼吸系统防护</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高浓度环境中，应该佩带防毒口罩。必要时建议佩带自给式呼吸器。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眼睛防护</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戴安全防护眼镜。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防护服</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穿相应的防护服。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手防护</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戴防护手套。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00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其它</w:t>
            </w:r>
          </w:p>
        </w:tc>
        <w:tc>
          <w:tcPr>
            <w:tcW w:w="591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工作现场严禁吸烟。工作后，淋浴更衣。注意个人清洁卫生。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泄漏处置</w:t>
            </w:r>
          </w:p>
        </w:tc>
        <w:tc>
          <w:tcPr>
            <w:tcW w:w="7920"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疏散泄漏污染区人员至安全区，禁止无关人员进入污染区，切断火源。建议应急处理人员戴自给式呼吸器，穿一般消防防护服。在确保安全情况下堵漏。喷水雾会减少蒸发，但不能降低泄漏物在受限制空间内的易燃性。用沙土、蛭石或其它惰性材料吸收，然后收集运至空旷的地方掩埋；蒸发、或焚烧。如大量泄漏，利用围堤收容，然后收集、转移、回收或无害处理后废弃。</w:t>
            </w:r>
          </w:p>
        </w:tc>
      </w:tr>
    </w:tbl>
    <w:p>
      <w:pPr>
        <w:keepNext/>
        <w:keepLines/>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eastAsia="黑体"/>
          <w:bCs/>
          <w:snapToGrid w:val="0"/>
          <w:kern w:val="0"/>
          <w:sz w:val="28"/>
          <w:szCs w:val="28"/>
        </w:rPr>
      </w:pPr>
      <w:r>
        <w:rPr>
          <w:rFonts w:hint="eastAsia" w:eastAsia="黑体"/>
          <w:bCs/>
          <w:snapToGrid w:val="0"/>
          <w:kern w:val="0"/>
          <w:sz w:val="28"/>
          <w:szCs w:val="28"/>
        </w:rPr>
        <w:t>3.1.2 天然气</w:t>
      </w:r>
    </w:p>
    <w:p>
      <w:pPr>
        <w:adjustRightInd w:val="0"/>
        <w:snapToGrid w:val="0"/>
        <w:spacing w:line="360" w:lineRule="auto"/>
        <w:ind w:firstLine="560" w:firstLineChars="200"/>
        <w:rPr>
          <w:sz w:val="28"/>
          <w:szCs w:val="28"/>
        </w:rPr>
      </w:pPr>
      <w:r>
        <w:rPr>
          <w:rFonts w:hint="eastAsia"/>
          <w:sz w:val="28"/>
          <w:szCs w:val="28"/>
        </w:rPr>
        <w:t>天然气的成分主要为低分子量的烷烃（如甲烷、乙烷）组成的混合物，不含硫化氢，其他成分含量低。根据《石油天然气工程设计防火规范》（GB50183-2004），一般天然气的火灾危险性类别为甲</w:t>
      </w:r>
      <w:r>
        <w:rPr>
          <w:rFonts w:hint="eastAsia"/>
          <w:sz w:val="28"/>
          <w:szCs w:val="28"/>
          <w:vertAlign w:val="subscript"/>
        </w:rPr>
        <w:t>B</w:t>
      </w:r>
      <w:r>
        <w:rPr>
          <w:rFonts w:hint="eastAsia"/>
          <w:sz w:val="28"/>
          <w:szCs w:val="28"/>
        </w:rPr>
        <w:t>类，属易燃、易爆性物质。其爆炸极限范围较宽，一旦泄漏，很容易与空气形成爆炸性气体混合物，遇火源极易发生燃爆。</w:t>
      </w:r>
    </w:p>
    <w:p>
      <w:pPr>
        <w:adjustRightInd w:val="0"/>
        <w:snapToGrid w:val="0"/>
        <w:spacing w:line="360" w:lineRule="auto"/>
        <w:ind w:firstLine="560" w:firstLineChars="200"/>
        <w:rPr>
          <w:sz w:val="28"/>
          <w:szCs w:val="28"/>
        </w:rPr>
      </w:pPr>
      <w:r>
        <w:rPr>
          <w:rFonts w:hint="eastAsia"/>
          <w:sz w:val="28"/>
          <w:szCs w:val="28"/>
        </w:rPr>
        <w:t>天然气的主要成分均属无毒、低毒或微毒，主要侵入途径是呼吸道、皮肤和眼睛。高浓度吸入会造成不同程度的伤害，皮肤、眼睛接触会引起刺激症状。有的低浓度长时间接触可引起神经衰弱症状。空气中浓度增加会使氧气含量降低，达到一定浓度时，会导致缺氧窒息。</w:t>
      </w:r>
    </w:p>
    <w:p>
      <w:pPr>
        <w:adjustRightInd w:val="0"/>
        <w:snapToGrid w:val="0"/>
        <w:spacing w:line="360" w:lineRule="auto"/>
        <w:ind w:firstLine="560" w:firstLineChars="200"/>
        <w:rPr>
          <w:sz w:val="28"/>
          <w:szCs w:val="28"/>
        </w:rPr>
      </w:pPr>
      <w:r>
        <w:rPr>
          <w:rFonts w:hint="eastAsia"/>
          <w:sz w:val="28"/>
          <w:szCs w:val="28"/>
        </w:rPr>
        <w:t>天然气中甲烷含量可达80%以上，甲烷的主要危险有害特性见下表。</w:t>
      </w:r>
    </w:p>
    <w:p>
      <w:pPr>
        <w:pStyle w:val="5"/>
        <w:adjustRightInd w:val="0"/>
        <w:snapToGrid w:val="0"/>
        <w:spacing w:line="360" w:lineRule="auto"/>
        <w:ind w:firstLine="480"/>
        <w:jc w:val="center"/>
        <w:rPr>
          <w:b/>
          <w:bCs/>
          <w:sz w:val="24"/>
          <w:szCs w:val="28"/>
        </w:rPr>
      </w:pPr>
      <w:r>
        <w:rPr>
          <w:rFonts w:hint="eastAsia"/>
          <w:b/>
          <w:bCs/>
          <w:sz w:val="24"/>
          <w:szCs w:val="28"/>
        </w:rPr>
        <w:t>表3</w:t>
      </w:r>
      <w:r>
        <w:rPr>
          <w:rFonts w:hint="eastAsia"/>
          <w:b/>
          <w:bCs/>
          <w:sz w:val="24"/>
          <w:szCs w:val="28"/>
          <w:lang w:val="en-US" w:eastAsia="zh-CN"/>
        </w:rPr>
        <w:t>.1</w:t>
      </w:r>
      <w:r>
        <w:rPr>
          <w:rFonts w:hint="eastAsia"/>
          <w:b/>
          <w:bCs/>
          <w:sz w:val="24"/>
          <w:szCs w:val="28"/>
        </w:rPr>
        <w:t>-</w:t>
      </w:r>
      <w:r>
        <w:rPr>
          <w:rFonts w:hint="eastAsia"/>
          <w:b/>
          <w:bCs/>
          <w:sz w:val="24"/>
          <w:szCs w:val="28"/>
          <w:lang w:val="en-US" w:eastAsia="zh-CN"/>
        </w:rPr>
        <w:t>4</w:t>
      </w:r>
      <w:r>
        <w:rPr>
          <w:rFonts w:hint="eastAsia"/>
          <w:b/>
          <w:bCs/>
          <w:sz w:val="24"/>
          <w:szCs w:val="28"/>
        </w:rPr>
        <w:t xml:space="preserve"> 甲烷主要危险有害特性一览表</w:t>
      </w:r>
    </w:p>
    <w:tbl>
      <w:tblPr>
        <w:tblStyle w:val="52"/>
        <w:tblW w:w="85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954"/>
        <w:gridCol w:w="1239"/>
        <w:gridCol w:w="1133"/>
        <w:gridCol w:w="709"/>
        <w:gridCol w:w="284"/>
        <w:gridCol w:w="885"/>
        <w:gridCol w:w="17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标识</w:t>
            </w: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中文名</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甲烷</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CAS</w:t>
            </w:r>
          </w:p>
        </w:tc>
        <w:tc>
          <w:tcPr>
            <w:tcW w:w="288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74-82-8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分子式</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CH</w:t>
            </w:r>
            <w:r>
              <w:rPr>
                <w:rFonts w:hint="eastAsia"/>
                <w:szCs w:val="21"/>
                <w:vertAlign w:val="subscript"/>
              </w:rPr>
              <w:t>4</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lang w:val="en-US" w:eastAsia="zh-CN"/>
              </w:rPr>
              <w:t>危化品序</w:t>
            </w:r>
            <w:r>
              <w:rPr>
                <w:rFonts w:hint="eastAsia"/>
                <w:szCs w:val="21"/>
              </w:rPr>
              <w:t>号</w:t>
            </w:r>
          </w:p>
        </w:tc>
        <w:tc>
          <w:tcPr>
            <w:tcW w:w="288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Cs w:val="21"/>
                <w:lang w:val="en-US" w:eastAsia="zh-CN"/>
              </w:rPr>
            </w:pPr>
            <w:r>
              <w:rPr>
                <w:rFonts w:hint="eastAsia"/>
                <w:szCs w:val="21"/>
                <w:lang w:val="en-US" w:eastAsia="zh-CN"/>
              </w:rPr>
              <w:t>1188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分子量</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16.04</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UN编号</w:t>
            </w:r>
          </w:p>
        </w:tc>
        <w:tc>
          <w:tcPr>
            <w:tcW w:w="288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1971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理化性质</w:t>
            </w: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外观性状</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无色无臭气体。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主要用途</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用作燃料和用于炭黑、氢、乙炔、甲醛等的制造。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溶解性</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微溶于水，溶于乙醇、乙醚。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熔点（℃）</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-182.5</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燃烧热（kJ/mol</w:t>
            </w:r>
            <w:r>
              <w:rPr>
                <w:rFonts w:hint="default"/>
                <w:szCs w:val="21"/>
              </w:rPr>
              <w:t>）</w:t>
            </w:r>
          </w:p>
        </w:tc>
        <w:tc>
          <w:tcPr>
            <w:tcW w:w="288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889.5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沸点（℃）</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-161.5</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饱和蒸气压（kPa）</w:t>
            </w:r>
          </w:p>
        </w:tc>
        <w:tc>
          <w:tcPr>
            <w:tcW w:w="288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53.32/-168.8℃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相对密度（水=1）</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0.42/-164℃</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临界温度（℃）</w:t>
            </w:r>
          </w:p>
        </w:tc>
        <w:tc>
          <w:tcPr>
            <w:tcW w:w="288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-82.6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相对密度</w:t>
            </w:r>
          </w:p>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（空气=1）</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0.55</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临界压力（MPa）</w:t>
            </w:r>
          </w:p>
        </w:tc>
        <w:tc>
          <w:tcPr>
            <w:tcW w:w="288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4.59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燃烧爆炸危险性</w:t>
            </w: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eastAsia="zh-CN"/>
              </w:rPr>
            </w:pPr>
            <w:r>
              <w:rPr>
                <w:rFonts w:hint="eastAsia"/>
                <w:szCs w:val="21"/>
              </w:rPr>
              <w:t>燃烧性</w:t>
            </w:r>
            <w:r>
              <w:rPr>
                <w:rFonts w:hint="eastAsia"/>
                <w:szCs w:val="21"/>
                <w:lang w:eastAsia="zh-CN"/>
              </w:rPr>
              <w:t>：</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易燃</w:t>
            </w:r>
          </w:p>
        </w:tc>
        <w:tc>
          <w:tcPr>
            <w:tcW w:w="1842" w:type="dxa"/>
            <w:gridSpan w:val="2"/>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危险特性</w:t>
            </w:r>
          </w:p>
        </w:tc>
        <w:tc>
          <w:tcPr>
            <w:tcW w:w="2886" w:type="dxa"/>
            <w:gridSpan w:val="3"/>
            <w:vMerge w:val="restart"/>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与空气混合能形成爆炸性混合物，遇明火、高热能引起燃烧爆炸。与氟、氯等能发生剧烈的化学反应。若遇高热，容器内压增大，有开裂和爆炸的危险。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建规火险分级</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甲</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闪点（℃）</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-188</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引燃温度（℃）</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538</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爆炸下限（V/%）</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5.3</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3"/>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爆炸上限（V/%）</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15</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燃烧（分解）产物</w:t>
            </w:r>
          </w:p>
        </w:tc>
        <w:tc>
          <w:tcPr>
            <w:tcW w:w="2886" w:type="dxa"/>
            <w:gridSpan w:val="3"/>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稳定性</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稳定</w:t>
            </w:r>
          </w:p>
        </w:tc>
        <w:tc>
          <w:tcPr>
            <w:tcW w:w="113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cs="宋体"/>
                <w:szCs w:val="21"/>
              </w:rPr>
            </w:pPr>
            <w:r>
              <w:rPr>
                <w:rFonts w:hint="default" w:cs="宋体"/>
                <w:szCs w:val="21"/>
              </w:rPr>
              <w:t>灭火方法</w:t>
            </w:r>
          </w:p>
        </w:tc>
        <w:tc>
          <w:tcPr>
            <w:tcW w:w="3595" w:type="dxa"/>
            <w:gridSpan w:val="4"/>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切断气源。若不能立即切断气源，则不允许熄灭正在燃烧的气体。喷水冷却容器，可能的话将容器从火场移至空旷处。雾状水、泡沫、二氧化碳。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聚合危害</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不能出现</w:t>
            </w:r>
          </w:p>
        </w:tc>
        <w:tc>
          <w:tcPr>
            <w:tcW w:w="2126"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禁忌物</w:t>
            </w:r>
          </w:p>
        </w:tc>
        <w:tc>
          <w:tcPr>
            <w:tcW w:w="260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强氧化剂、氟、氯。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包装与储运</w:t>
            </w: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rPr>
              <w:t>危险货物包装标志</w:t>
            </w:r>
          </w:p>
        </w:tc>
        <w:tc>
          <w:tcPr>
            <w:tcW w:w="1239" w:type="dxa"/>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default"/>
                <w:szCs w:val="21"/>
              </w:rPr>
              <w:t>4</w:t>
            </w:r>
          </w:p>
        </w:tc>
        <w:tc>
          <w:tcPr>
            <w:tcW w:w="3011"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包装类别</w:t>
            </w:r>
          </w:p>
        </w:tc>
        <w:tc>
          <w:tcPr>
            <w:tcW w:w="1717"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eastAsia="zh-CN"/>
              </w:rPr>
            </w:pPr>
            <w:r>
              <w:rPr>
                <w:rFonts w:hint="eastAsia"/>
                <w:szCs w:val="21"/>
              </w:rPr>
              <w:t>储运注意事项</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易燃压缩气体。储存于阴凉、通风仓间内。仓温不宜超过30℃。远离火种、热源。防止阳光直射。应与氧气、压缩空气、卤素（氟、氯、溴）等分开存放。切忌混储混运。储存间内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毒性与健康危害性</w:t>
            </w: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接触限值</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苏联MAC</w:t>
            </w:r>
            <w:r>
              <w:rPr>
                <w:rFonts w:hint="eastAsia"/>
                <w:szCs w:val="21"/>
                <w:lang w:eastAsia="zh-CN"/>
              </w:rPr>
              <w:t>：</w:t>
            </w:r>
            <w:r>
              <w:rPr>
                <w:rFonts w:hint="eastAsia"/>
                <w:szCs w:val="21"/>
              </w:rPr>
              <w:t>300mg/m</w:t>
            </w:r>
            <w:r>
              <w:rPr>
                <w:rFonts w:hint="eastAsia"/>
                <w:szCs w:val="21"/>
                <w:vertAlign w:val="superscript"/>
              </w:rPr>
              <w:t>3</w:t>
            </w:r>
          </w:p>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美国TWA</w:t>
            </w:r>
            <w:r>
              <w:rPr>
                <w:rFonts w:hint="eastAsia"/>
                <w:szCs w:val="21"/>
                <w:lang w:eastAsia="zh-CN"/>
              </w:rPr>
              <w:t>：</w:t>
            </w:r>
            <w:r>
              <w:rPr>
                <w:rFonts w:hint="eastAsia"/>
                <w:szCs w:val="21"/>
              </w:rPr>
              <w:t>ACGIH窒息性气体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毒性</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健康危害</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空气中甲烷浓度过高，能使人窒息。当空气中甲烷达25～30％时，可引起头痛、头晕、乏力、注意力不集中、呼吸和心跳加速、精细动作障碍等，甚至因缺氧而窒息、昏迷。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侵入途径</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急救</w:t>
            </w: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皮肤接触</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若有冻伤，就医治疗。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眼睛接触</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吸入</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迅速脱离现场至空气新鲜处。注意保暖，呼吸困难时给输氧。呼吸及心跳停止者立即进行人工呼吸和心脏按压术。就医。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食入</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防护措施</w:t>
            </w: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工程控制</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生产过程密闭，全面通风。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呼吸系统防护</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高浓度环境中，佩带供气式呼吸器。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眼睛防护</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一般不需特殊防护，高浓度接触时可戴安全防护眼镜。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防护服</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穿工作服。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手防护</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一般不需特殊防护，高浓度接触时可戴防护手套。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5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其它</w:t>
            </w:r>
          </w:p>
        </w:tc>
        <w:tc>
          <w:tcPr>
            <w:tcW w:w="5967"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工作现场严禁吸烟。避免长期反复接触。进入罐或其它高浓度区作业，须有人监护。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60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泄漏处置</w:t>
            </w:r>
          </w:p>
        </w:tc>
        <w:tc>
          <w:tcPr>
            <w:tcW w:w="7921"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迅速撤离泄漏污染区人员至上风处，并隔离直至气体散尽，切断火源。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w:t>
            </w:r>
          </w:p>
        </w:tc>
      </w:tr>
    </w:tbl>
    <w:p>
      <w:pPr>
        <w:keepNext/>
        <w:keepLines/>
        <w:adjustRightInd w:val="0"/>
        <w:snapToGrid w:val="0"/>
        <w:spacing w:line="360" w:lineRule="auto"/>
        <w:outlineLvl w:val="2"/>
        <w:rPr>
          <w:rFonts w:eastAsia="黑体"/>
          <w:bCs/>
          <w:snapToGrid w:val="0"/>
          <w:kern w:val="0"/>
          <w:sz w:val="28"/>
          <w:szCs w:val="28"/>
        </w:rPr>
      </w:pPr>
      <w:r>
        <w:rPr>
          <w:rFonts w:hint="eastAsia" w:eastAsia="黑体"/>
          <w:bCs/>
          <w:snapToGrid w:val="0"/>
          <w:kern w:val="0"/>
          <w:sz w:val="28"/>
          <w:szCs w:val="28"/>
        </w:rPr>
        <w:t>3.1.3 硫化氢</w:t>
      </w:r>
    </w:p>
    <w:p>
      <w:pPr>
        <w:adjustRightInd w:val="0"/>
        <w:snapToGrid w:val="0"/>
        <w:spacing w:line="360" w:lineRule="auto"/>
        <w:ind w:firstLine="560" w:firstLineChars="200"/>
        <w:rPr>
          <w:sz w:val="28"/>
          <w:szCs w:val="28"/>
        </w:rPr>
      </w:pPr>
      <w:r>
        <w:rPr>
          <w:rFonts w:hint="eastAsia"/>
          <w:sz w:val="28"/>
          <w:szCs w:val="28"/>
        </w:rPr>
        <w:t>硫化氢（H</w:t>
      </w:r>
      <w:r>
        <w:rPr>
          <w:rFonts w:hint="eastAsia"/>
          <w:sz w:val="28"/>
          <w:szCs w:val="28"/>
          <w:vertAlign w:val="subscript"/>
        </w:rPr>
        <w:t>2</w:t>
      </w:r>
      <w:r>
        <w:rPr>
          <w:rFonts w:hint="eastAsia"/>
          <w:sz w:val="28"/>
          <w:szCs w:val="28"/>
        </w:rPr>
        <w:t>S）是硫的氢化物中最简单的一种。常温时硫化氢是一种无色有臭鸡蛋气味的毒</w:t>
      </w:r>
      <w:r>
        <w:rPr>
          <w:rFonts w:hint="eastAsia"/>
          <w:sz w:val="28"/>
          <w:szCs w:val="28"/>
          <w:lang w:val="en-US" w:eastAsia="zh-CN"/>
        </w:rPr>
        <w:t>性</w:t>
      </w:r>
      <w:r>
        <w:rPr>
          <w:rFonts w:hint="eastAsia"/>
          <w:sz w:val="28"/>
          <w:szCs w:val="28"/>
        </w:rPr>
        <w:t>气体，应在通风处进行使用必须采取防护措施。</w:t>
      </w:r>
    </w:p>
    <w:p>
      <w:pPr>
        <w:pStyle w:val="5"/>
        <w:adjustRightInd w:val="0"/>
        <w:snapToGrid w:val="0"/>
        <w:spacing w:line="360" w:lineRule="auto"/>
        <w:ind w:firstLine="480"/>
        <w:jc w:val="center"/>
        <w:rPr>
          <w:b/>
          <w:bCs/>
          <w:sz w:val="24"/>
          <w:szCs w:val="28"/>
        </w:rPr>
      </w:pPr>
      <w:r>
        <w:rPr>
          <w:rFonts w:hint="eastAsia"/>
          <w:b/>
          <w:bCs/>
          <w:sz w:val="24"/>
          <w:szCs w:val="28"/>
        </w:rPr>
        <w:t>表3</w:t>
      </w:r>
      <w:r>
        <w:rPr>
          <w:rFonts w:hint="eastAsia"/>
          <w:b/>
          <w:bCs/>
          <w:sz w:val="24"/>
          <w:szCs w:val="28"/>
          <w:lang w:val="en-US" w:eastAsia="zh-CN"/>
        </w:rPr>
        <w:t>.1</w:t>
      </w:r>
      <w:r>
        <w:rPr>
          <w:rFonts w:hint="eastAsia"/>
          <w:b/>
          <w:bCs/>
          <w:sz w:val="24"/>
          <w:szCs w:val="28"/>
        </w:rPr>
        <w:t>-</w:t>
      </w:r>
      <w:r>
        <w:rPr>
          <w:rFonts w:hint="eastAsia"/>
          <w:b/>
          <w:bCs/>
          <w:sz w:val="24"/>
          <w:szCs w:val="28"/>
          <w:lang w:val="en-US" w:eastAsia="zh-CN"/>
        </w:rPr>
        <w:t>5</w:t>
      </w:r>
      <w:r>
        <w:rPr>
          <w:rFonts w:hint="eastAsia"/>
          <w:b/>
          <w:bCs/>
          <w:sz w:val="24"/>
          <w:szCs w:val="28"/>
        </w:rPr>
        <w:t xml:space="preserve"> 硫化氢主要危险有害特性一览表</w:t>
      </w:r>
    </w:p>
    <w:tbl>
      <w:tblPr>
        <w:tblStyle w:val="52"/>
        <w:tblW w:w="85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773"/>
        <w:gridCol w:w="1420"/>
        <w:gridCol w:w="1133"/>
        <w:gridCol w:w="709"/>
        <w:gridCol w:w="142"/>
        <w:gridCol w:w="851"/>
        <w:gridCol w:w="1134"/>
        <w:gridCol w:w="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标识</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中文名</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硫化氢</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CAS</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7783-06-4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分子式</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H</w:t>
            </w:r>
            <w:r>
              <w:rPr>
                <w:rFonts w:hint="default"/>
                <w:szCs w:val="21"/>
                <w:vertAlign w:val="subscript"/>
              </w:rPr>
              <w:t>2</w:t>
            </w:r>
            <w:r>
              <w:rPr>
                <w:rFonts w:hint="default"/>
                <w:szCs w:val="21"/>
              </w:rPr>
              <w:t>S</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lang w:val="en-US" w:eastAsia="zh-CN"/>
              </w:rPr>
              <w:t>危化品序</w:t>
            </w:r>
            <w:r>
              <w:rPr>
                <w:rFonts w:hint="eastAsia"/>
                <w:szCs w:val="21"/>
              </w:rPr>
              <w:t>号</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Cs w:val="21"/>
                <w:lang w:val="en-US" w:eastAsia="zh-CN"/>
              </w:rPr>
            </w:pPr>
            <w:r>
              <w:rPr>
                <w:rFonts w:hint="eastAsia"/>
                <w:szCs w:val="21"/>
                <w:lang w:val="en-US" w:eastAsia="zh-CN"/>
              </w:rPr>
              <w:t>1289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分子量</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34.08</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UN编号</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理化性质</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外观性状</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无色、有恶臭的气体。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主要用途</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用于化学分析如鉴定金属离子。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溶解性</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溶于水、乙醇。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熔点（℃）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-85.5</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燃烧热（kJ/mol</w:t>
            </w:r>
            <w:r>
              <w:rPr>
                <w:rFonts w:hint="default"/>
                <w:szCs w:val="21"/>
              </w:rPr>
              <w:t>）</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沸点（℃）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-60.4</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饱和蒸气压（kPa）</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2026.5（25.5℃）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相对密度（水=1）</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临界温度（℃）</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相对密度</w:t>
            </w:r>
          </w:p>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（空气=1）</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1.19</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临界压力（MPa）</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9.01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燃烧爆炸危险性</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eastAsia="zh-CN"/>
              </w:rPr>
            </w:pPr>
            <w:r>
              <w:rPr>
                <w:rFonts w:hint="eastAsia"/>
                <w:szCs w:val="21"/>
              </w:rPr>
              <w:t>燃烧性</w:t>
            </w:r>
            <w:r>
              <w:rPr>
                <w:rFonts w:hint="eastAsia"/>
                <w:szCs w:val="21"/>
                <w:lang w:eastAsia="zh-CN"/>
              </w:rPr>
              <w:t>：</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易燃</w:t>
            </w:r>
          </w:p>
        </w:tc>
        <w:tc>
          <w:tcPr>
            <w:tcW w:w="1842" w:type="dxa"/>
            <w:gridSpan w:val="2"/>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危险特性</w:t>
            </w:r>
          </w:p>
        </w:tc>
        <w:tc>
          <w:tcPr>
            <w:tcW w:w="2886" w:type="dxa"/>
            <w:gridSpan w:val="4"/>
            <w:vMerge w:val="restart"/>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易燃，与空气混合能形成爆炸性混合物，遇明火、高热能引起燃烧爆炸。与浓硝酸、发烟硝酸或其它强氧化剂剧烈反应，发生爆炸。气体比空气重，能在较低处扩散到相当远的地方，遇火源会着火回燃。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建规火险分级</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甲</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闪点（℃）</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无意义</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引燃温度（℃）</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260</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爆炸下限（V/%）</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4.0</w:t>
            </w:r>
          </w:p>
        </w:tc>
        <w:tc>
          <w:tcPr>
            <w:tcW w:w="1842"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4"/>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爆炸上限（V/%）</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46.0</w:t>
            </w:r>
          </w:p>
        </w:tc>
        <w:tc>
          <w:tcPr>
            <w:tcW w:w="1842"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燃烧（分解）产物</w:t>
            </w:r>
          </w:p>
        </w:tc>
        <w:tc>
          <w:tcPr>
            <w:tcW w:w="2886" w:type="dxa"/>
            <w:gridSpan w:val="4"/>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氧化硫。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稳定性</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稳定</w:t>
            </w:r>
          </w:p>
        </w:tc>
        <w:tc>
          <w:tcPr>
            <w:tcW w:w="113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cs="宋体"/>
                <w:szCs w:val="21"/>
              </w:rPr>
            </w:pPr>
            <w:r>
              <w:rPr>
                <w:rFonts w:hint="default" w:cs="宋体"/>
                <w:szCs w:val="21"/>
              </w:rPr>
              <w:t>灭火方法</w:t>
            </w:r>
          </w:p>
        </w:tc>
        <w:tc>
          <w:tcPr>
            <w:tcW w:w="3595"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消防人员必须穿全身防火防毒服，在上风向灭火。切断气源。若不能切断气源，则不允许熄灭泄漏处的火焰。喷水冷却容器，可能的话将容器从火场移至空旷处。灭火剂</w:t>
            </w:r>
            <w:r>
              <w:rPr>
                <w:rFonts w:hint="eastAsia"/>
                <w:szCs w:val="21"/>
                <w:lang w:eastAsia="zh-CN"/>
              </w:rPr>
              <w:t>：</w:t>
            </w:r>
            <w:r>
              <w:rPr>
                <w:rFonts w:hint="eastAsia"/>
                <w:szCs w:val="21"/>
              </w:rPr>
              <w:t>雾状水、抗溶性泡沫、干粉。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聚合危害</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不能出现</w:t>
            </w:r>
          </w:p>
        </w:tc>
        <w:tc>
          <w:tcPr>
            <w:tcW w:w="1984"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禁忌物</w:t>
            </w:r>
          </w:p>
        </w:tc>
        <w:tc>
          <w:tcPr>
            <w:tcW w:w="2744"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强氧化剂、碱类。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包装与储运</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危险性类别</w:t>
            </w:r>
          </w:p>
        </w:tc>
        <w:tc>
          <w:tcPr>
            <w:tcW w:w="1420"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第2.1 类易燃气体</w:t>
            </w:r>
          </w:p>
        </w:tc>
        <w:tc>
          <w:tcPr>
            <w:tcW w:w="1984"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危险货物包装标志</w:t>
            </w:r>
          </w:p>
        </w:tc>
        <w:tc>
          <w:tcPr>
            <w:tcW w:w="85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无资料</w:t>
            </w:r>
          </w:p>
        </w:tc>
        <w:tc>
          <w:tcPr>
            <w:tcW w:w="113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包装类别</w:t>
            </w:r>
          </w:p>
        </w:tc>
        <w:tc>
          <w:tcPr>
            <w:tcW w:w="759"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O52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eastAsia="zh-CN"/>
              </w:rPr>
            </w:pPr>
            <w:r>
              <w:rPr>
                <w:rFonts w:hint="eastAsia"/>
                <w:szCs w:val="21"/>
              </w:rPr>
              <w:t>储运注意事项</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储存注意事项</w:t>
            </w:r>
            <w:r>
              <w:rPr>
                <w:rFonts w:hint="eastAsia"/>
                <w:szCs w:val="21"/>
                <w:lang w:eastAsia="zh-CN"/>
              </w:rPr>
              <w:t>：</w:t>
            </w:r>
            <w:r>
              <w:rPr>
                <w:rFonts w:hint="eastAsia"/>
                <w:szCs w:val="21"/>
              </w:rPr>
              <w:t>储存于阴凉、通风的库房。远离火种、热源。库温不宜超过30℃。保持容器密封。应与氧化剂、碱类分开存放，切忌混储。采用防爆型照明、通风设施。禁止使用易产生火花的机械设备和工具。储区应备有泄漏应急处理设备。</w:t>
            </w:r>
          </w:p>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运输注意事项</w:t>
            </w:r>
            <w:r>
              <w:rPr>
                <w:rFonts w:hint="eastAsia"/>
                <w:szCs w:val="21"/>
                <w:lang w:eastAsia="zh-CN"/>
              </w:rPr>
              <w:t>：</w:t>
            </w:r>
            <w:r>
              <w:rPr>
                <w:rFonts w:hint="eastAsia"/>
                <w:szCs w:val="21"/>
              </w:rPr>
              <w:t>铁路运输时应严格按照铁道部《危险货物运输规则》中的危险货物配装表进行配装。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碱类、食用化学品等混装混运。夏季应早晚运输，防止日光曝晒。中途停留时应远离火种、热源。公路运输时要按规定路线行驶，禁止在居民区和人口稠密区停留。铁路运输时要禁止溜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毒性与健康危害性</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接触限值</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中国MAC（mg/m</w:t>
            </w:r>
            <w:r>
              <w:rPr>
                <w:rFonts w:hint="eastAsia"/>
                <w:szCs w:val="21"/>
                <w:vertAlign w:val="superscript"/>
              </w:rPr>
              <w:t>3</w:t>
            </w:r>
            <w:r>
              <w:rPr>
                <w:rFonts w:hint="eastAsia"/>
                <w:szCs w:val="21"/>
              </w:rPr>
              <w:t>）</w:t>
            </w:r>
            <w:r>
              <w:rPr>
                <w:rFonts w:hint="eastAsia"/>
                <w:szCs w:val="21"/>
                <w:lang w:eastAsia="zh-CN"/>
              </w:rPr>
              <w:t>：</w:t>
            </w:r>
            <w:r>
              <w:rPr>
                <w:rFonts w:hint="eastAsia"/>
                <w:szCs w:val="21"/>
              </w:rPr>
              <w:t>10</w:t>
            </w:r>
          </w:p>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中国TLV（mg/m</w:t>
            </w:r>
            <w:r>
              <w:rPr>
                <w:rFonts w:hint="eastAsia"/>
                <w:szCs w:val="21"/>
                <w:vertAlign w:val="superscript"/>
              </w:rPr>
              <w:t>3</w:t>
            </w:r>
            <w:r>
              <w:rPr>
                <w:rFonts w:hint="eastAsia"/>
                <w:szCs w:val="21"/>
              </w:rPr>
              <w:t>）</w:t>
            </w:r>
            <w:r>
              <w:rPr>
                <w:rFonts w:hint="eastAsia"/>
                <w:szCs w:val="21"/>
                <w:lang w:eastAsia="zh-CN"/>
              </w:rPr>
              <w:t>：</w:t>
            </w:r>
            <w:r>
              <w:rPr>
                <w:rFonts w:hint="eastAsia"/>
                <w:szCs w:val="21"/>
              </w:rPr>
              <w:t>15（10ppm）</w:t>
            </w:r>
          </w:p>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前苏联MAC（mg/m</w:t>
            </w:r>
            <w:r>
              <w:rPr>
                <w:rFonts w:hint="eastAsia"/>
                <w:szCs w:val="21"/>
                <w:vertAlign w:val="superscript"/>
              </w:rPr>
              <w:t>3</w:t>
            </w:r>
            <w:r>
              <w:rPr>
                <w:rFonts w:hint="eastAsia"/>
                <w:szCs w:val="21"/>
              </w:rPr>
              <w:t>）</w:t>
            </w:r>
            <w:r>
              <w:rPr>
                <w:rFonts w:hint="eastAsia"/>
                <w:szCs w:val="21"/>
                <w:lang w:eastAsia="zh-CN"/>
              </w:rPr>
              <w:t>：</w:t>
            </w:r>
            <w:r>
              <w:rPr>
                <w:rFonts w:hint="eastAsia"/>
                <w:szCs w:val="21"/>
              </w:rPr>
              <w:t>10</w:t>
            </w:r>
          </w:p>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TLVTN</w:t>
            </w:r>
            <w:r>
              <w:rPr>
                <w:rFonts w:hint="eastAsia"/>
                <w:szCs w:val="21"/>
                <w:lang w:eastAsia="zh-CN"/>
              </w:rPr>
              <w:t>：</w:t>
            </w:r>
            <w:r>
              <w:rPr>
                <w:rFonts w:hint="eastAsia"/>
                <w:szCs w:val="21"/>
              </w:rPr>
              <w:t>OSHA 20ppm，28mg/m</w:t>
            </w:r>
            <w:r>
              <w:rPr>
                <w:rFonts w:hint="eastAsia"/>
                <w:szCs w:val="21"/>
                <w:vertAlign w:val="superscript"/>
              </w:rPr>
              <w:t>3</w:t>
            </w:r>
            <w:r>
              <w:rPr>
                <w:rFonts w:hint="eastAsia"/>
                <w:szCs w:val="21"/>
              </w:rPr>
              <w:t>[上限值]; ACGIH 10ppm，14mg/m</w:t>
            </w:r>
            <w:r>
              <w:rPr>
                <w:rFonts w:hint="eastAsia"/>
                <w:szCs w:val="21"/>
                <w:vertAlign w:val="superscript"/>
              </w:rPr>
              <w:t>3</w:t>
            </w:r>
          </w:p>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TLVWN</w:t>
            </w:r>
            <w:r>
              <w:rPr>
                <w:rFonts w:hint="eastAsia"/>
                <w:szCs w:val="21"/>
                <w:lang w:eastAsia="zh-CN"/>
              </w:rPr>
              <w:t>：</w:t>
            </w:r>
            <w:r>
              <w:rPr>
                <w:rFonts w:hint="eastAsia"/>
                <w:szCs w:val="21"/>
              </w:rPr>
              <w:t>ACGIH 15ppm，21mg/m</w:t>
            </w:r>
            <w:r>
              <w:rPr>
                <w:rFonts w:hint="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毒性</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LC50</w:t>
            </w:r>
            <w:r>
              <w:rPr>
                <w:rFonts w:hint="eastAsia"/>
                <w:szCs w:val="21"/>
                <w:lang w:eastAsia="zh-CN"/>
              </w:rPr>
              <w:t>：</w:t>
            </w:r>
            <w:r>
              <w:rPr>
                <w:rFonts w:hint="eastAsia"/>
                <w:szCs w:val="21"/>
              </w:rPr>
              <w:t>618 mg/m</w:t>
            </w:r>
            <w:r>
              <w:rPr>
                <w:rFonts w:hint="eastAsia"/>
                <w:szCs w:val="21"/>
                <w:vertAlign w:val="superscript"/>
              </w:rPr>
              <w:t>3</w:t>
            </w:r>
            <w:r>
              <w:rPr>
                <w:rFonts w:hint="eastAsia"/>
                <w:szCs w:val="21"/>
              </w:rPr>
              <w:t>（大鼠吸入）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健康危害</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本品是强烈的神经毒物，对粘膜有强烈刺激作用。 急性中毒</w:t>
            </w:r>
            <w:r>
              <w:rPr>
                <w:rFonts w:hint="eastAsia"/>
                <w:szCs w:val="21"/>
                <w:lang w:eastAsia="zh-CN"/>
              </w:rPr>
              <w:t>：</w:t>
            </w:r>
            <w:r>
              <w:rPr>
                <w:rFonts w:hint="eastAsia"/>
                <w:szCs w:val="21"/>
              </w:rPr>
              <w:t>短期内吸入高浓度硫化氢后出现流泪、眼痛、眼内异物感、畏光、视物模糊、流涕、咽喉部灼热感、咳嗽、胸闷、头痛、头晕、乏力、意识模糊等。部分患者可有心肌损害。重者可出现脑水肿、肺水肿。极高浓度（1000mg/m</w:t>
            </w:r>
            <w:r>
              <w:rPr>
                <w:rFonts w:hint="eastAsia"/>
                <w:szCs w:val="21"/>
                <w:vertAlign w:val="superscript"/>
              </w:rPr>
              <w:t>3</w:t>
            </w:r>
            <w:r>
              <w:rPr>
                <w:rFonts w:hint="eastAsia"/>
                <w:szCs w:val="21"/>
              </w:rPr>
              <w:t>以上）时可在数秒钟内突然昏迷，呼吸和心跳骤停，发生闪电型死亡。高浓度接触眼结膜发生水肿和角膜溃疡。 长期低浓度接触，引起神经衰弱综合征和植物神经功能紊乱。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侵入途径</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接触、吸入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急救</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皮肤接触</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眼睛接触</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立即提起眼睑，用大量流动清水或生理盐水彻底冲洗至少15分钟。就医。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吸入</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食入</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防护措施</w:t>
            </w: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工程控制</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严加密闭，提供充分的局部排风和全面通风。提供安全淋浴和洗眼设备。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呼吸系统防护</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空气中浓度超标时，佩戴过滤式防毒面具（半面罩）。紧急事态抢救或撤离时，建议佩戴氧气呼吸器或空气呼吸器。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眼睛防护</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戴化学安全防护眼镜。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防护服</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穿防静电工作服。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手防护</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戴防化学品手套。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77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其它</w:t>
            </w:r>
          </w:p>
        </w:tc>
        <w:tc>
          <w:tcPr>
            <w:tcW w:w="6148" w:type="dxa"/>
            <w:gridSpan w:val="7"/>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工作现场禁止吸烟、进食和饮水。工作完毕，淋浴更衣。及时换洗工作服。作业人员应学会自救互救。进入罐、限制性空间或其它高浓度区作业，须有人监护。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2"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泄漏处置</w:t>
            </w:r>
          </w:p>
        </w:tc>
        <w:tc>
          <w:tcPr>
            <w:tcW w:w="7921" w:type="dxa"/>
            <w:gridSpan w:val="8"/>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迅速撤离泄漏污染区人员至上风处，并立即进行隔离，小泄漏时隔离150m，大泄漏时隔离300m，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bl>
    <w:p>
      <w:pPr>
        <w:keepNext/>
        <w:keepLines/>
        <w:pageBreakBefore w:val="0"/>
        <w:widowControl w:val="0"/>
        <w:kinsoku/>
        <w:wordWrap/>
        <w:overflowPunct/>
        <w:topLinePunct w:val="0"/>
        <w:autoSpaceDE/>
        <w:autoSpaceDN/>
        <w:bidi w:val="0"/>
        <w:adjustRightInd w:val="0"/>
        <w:snapToGrid w:val="0"/>
        <w:spacing w:before="156" w:beforeLines="50" w:line="360" w:lineRule="auto"/>
        <w:textAlignment w:val="auto"/>
        <w:outlineLvl w:val="2"/>
        <w:rPr>
          <w:rFonts w:eastAsia="黑体"/>
          <w:bCs/>
          <w:snapToGrid w:val="0"/>
          <w:kern w:val="0"/>
          <w:sz w:val="28"/>
          <w:szCs w:val="28"/>
        </w:rPr>
      </w:pPr>
      <w:r>
        <w:rPr>
          <w:rFonts w:hint="eastAsia" w:eastAsia="黑体"/>
          <w:bCs/>
          <w:snapToGrid w:val="0"/>
          <w:kern w:val="0"/>
          <w:sz w:val="28"/>
          <w:szCs w:val="28"/>
        </w:rPr>
        <w:t>3.1.4 二氧化硫</w:t>
      </w:r>
    </w:p>
    <w:p>
      <w:pPr>
        <w:adjustRightInd w:val="0"/>
        <w:snapToGrid w:val="0"/>
        <w:spacing w:line="360" w:lineRule="auto"/>
        <w:ind w:firstLine="560" w:firstLineChars="200"/>
        <w:rPr>
          <w:sz w:val="28"/>
          <w:szCs w:val="28"/>
        </w:rPr>
      </w:pPr>
      <w:r>
        <w:rPr>
          <w:rFonts w:hint="eastAsia"/>
          <w:sz w:val="28"/>
          <w:szCs w:val="28"/>
        </w:rPr>
        <w:t>二氧化硫是最常见的硫氧化物。无色气体，有强烈刺激性气味。大气主要污染物之一。含有硫化氢的井发生井喷或放喷时，通常要点火。硫化氢燃烧后产生二氧化硫也属有毒气体。二氧化硫为无色、具有刺激性气味、比空气比重大的气体，具有窒息作用，人吸入后在鼻和喉粘膜上形成亚硫酸。吸入一定浓度的二氧化硫会引起人身伤害甚至死亡。</w:t>
      </w:r>
    </w:p>
    <w:p>
      <w:pPr>
        <w:pStyle w:val="5"/>
        <w:adjustRightInd w:val="0"/>
        <w:snapToGrid w:val="0"/>
        <w:spacing w:line="360" w:lineRule="auto"/>
        <w:ind w:firstLine="480"/>
        <w:jc w:val="center"/>
        <w:rPr>
          <w:b/>
          <w:bCs/>
          <w:sz w:val="24"/>
          <w:szCs w:val="28"/>
        </w:rPr>
      </w:pPr>
      <w:r>
        <w:rPr>
          <w:rFonts w:hint="eastAsia"/>
          <w:b/>
          <w:bCs/>
          <w:sz w:val="24"/>
          <w:szCs w:val="28"/>
        </w:rPr>
        <w:t>表3</w:t>
      </w:r>
      <w:r>
        <w:rPr>
          <w:rFonts w:hint="eastAsia"/>
          <w:b/>
          <w:bCs/>
          <w:sz w:val="24"/>
          <w:szCs w:val="28"/>
          <w:lang w:val="en-US" w:eastAsia="zh-CN"/>
        </w:rPr>
        <w:t>.1</w:t>
      </w:r>
      <w:r>
        <w:rPr>
          <w:rFonts w:hint="eastAsia"/>
          <w:b/>
          <w:bCs/>
          <w:sz w:val="24"/>
          <w:szCs w:val="28"/>
        </w:rPr>
        <w:t>-</w:t>
      </w:r>
      <w:r>
        <w:rPr>
          <w:rFonts w:hint="eastAsia"/>
          <w:b/>
          <w:bCs/>
          <w:sz w:val="24"/>
          <w:szCs w:val="28"/>
          <w:lang w:val="en-US" w:eastAsia="zh-CN"/>
        </w:rPr>
        <w:t>6</w:t>
      </w:r>
      <w:r>
        <w:rPr>
          <w:rFonts w:hint="eastAsia"/>
          <w:b/>
          <w:bCs/>
          <w:sz w:val="24"/>
          <w:szCs w:val="28"/>
        </w:rPr>
        <w:t xml:space="preserve"> 二氧化硫主要危险有害特性一览表</w:t>
      </w:r>
    </w:p>
    <w:tbl>
      <w:tblPr>
        <w:tblStyle w:val="52"/>
        <w:tblW w:w="85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1"/>
        <w:gridCol w:w="1918"/>
        <w:gridCol w:w="1275"/>
        <w:gridCol w:w="1133"/>
        <w:gridCol w:w="710"/>
        <w:gridCol w:w="142"/>
        <w:gridCol w:w="2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标识</w:t>
            </w: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中文名</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二氧化硫</w:t>
            </w:r>
          </w:p>
        </w:tc>
        <w:tc>
          <w:tcPr>
            <w:tcW w:w="184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CAS</w:t>
            </w:r>
          </w:p>
        </w:tc>
        <w:tc>
          <w:tcPr>
            <w:tcW w:w="288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7446-09-5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分子式</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SO</w:t>
            </w:r>
            <w:r>
              <w:rPr>
                <w:rFonts w:hint="default"/>
                <w:szCs w:val="21"/>
                <w:vertAlign w:val="subscript"/>
              </w:rPr>
              <w:t>2</w:t>
            </w:r>
          </w:p>
        </w:tc>
        <w:tc>
          <w:tcPr>
            <w:tcW w:w="184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lang w:val="en-US" w:eastAsia="zh-CN"/>
              </w:rPr>
              <w:t>危化品序</w:t>
            </w:r>
            <w:r>
              <w:rPr>
                <w:rFonts w:hint="eastAsia"/>
                <w:szCs w:val="21"/>
              </w:rPr>
              <w:t>号</w:t>
            </w:r>
          </w:p>
        </w:tc>
        <w:tc>
          <w:tcPr>
            <w:tcW w:w="288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Cs w:val="21"/>
                <w:lang w:val="en-US" w:eastAsia="zh-CN"/>
              </w:rPr>
            </w:pPr>
            <w:r>
              <w:rPr>
                <w:rFonts w:hint="eastAsia"/>
                <w:szCs w:val="21"/>
                <w:lang w:val="en-US" w:eastAsia="zh-CN"/>
              </w:rPr>
              <w:t>639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分子量</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64.06</w:t>
            </w:r>
          </w:p>
        </w:tc>
        <w:tc>
          <w:tcPr>
            <w:tcW w:w="184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UN编号</w:t>
            </w:r>
          </w:p>
        </w:tc>
        <w:tc>
          <w:tcPr>
            <w:tcW w:w="288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1079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理化性质</w:t>
            </w: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外观性状</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无色气体，特臭。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主要用途</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用于制造硫酸和保险粉等。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溶解性</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溶于水、乙醇。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熔点（℃）</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-75.5</w:t>
            </w:r>
          </w:p>
        </w:tc>
        <w:tc>
          <w:tcPr>
            <w:tcW w:w="184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燃烧热（kJ/mol</w:t>
            </w:r>
            <w:r>
              <w:rPr>
                <w:rFonts w:hint="default"/>
                <w:szCs w:val="21"/>
              </w:rPr>
              <w:t>）</w:t>
            </w:r>
          </w:p>
        </w:tc>
        <w:tc>
          <w:tcPr>
            <w:tcW w:w="288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沸点（℃）</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-10</w:t>
            </w:r>
          </w:p>
        </w:tc>
        <w:tc>
          <w:tcPr>
            <w:tcW w:w="184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饱和蒸气压（kPa）</w:t>
            </w:r>
          </w:p>
        </w:tc>
        <w:tc>
          <w:tcPr>
            <w:tcW w:w="288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338.42（21.1℃）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相对密度（水=1）</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1.43</w:t>
            </w:r>
          </w:p>
        </w:tc>
        <w:tc>
          <w:tcPr>
            <w:tcW w:w="184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临界温度（℃）</w:t>
            </w:r>
          </w:p>
        </w:tc>
        <w:tc>
          <w:tcPr>
            <w:tcW w:w="288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157.8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相对密度（空气=1）</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2.26</w:t>
            </w:r>
          </w:p>
        </w:tc>
        <w:tc>
          <w:tcPr>
            <w:tcW w:w="184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临界压力（MPa）</w:t>
            </w:r>
          </w:p>
        </w:tc>
        <w:tc>
          <w:tcPr>
            <w:tcW w:w="2886"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7.87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燃烧爆炸危险性</w:t>
            </w: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eastAsia="zh-CN"/>
              </w:rPr>
            </w:pPr>
            <w:r>
              <w:rPr>
                <w:rFonts w:hint="eastAsia"/>
                <w:szCs w:val="21"/>
              </w:rPr>
              <w:t>燃烧性</w:t>
            </w:r>
            <w:r>
              <w:rPr>
                <w:rFonts w:hint="eastAsia"/>
                <w:szCs w:val="21"/>
                <w:lang w:eastAsia="zh-CN"/>
              </w:rPr>
              <w:t>：</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不燃</w:t>
            </w:r>
          </w:p>
        </w:tc>
        <w:tc>
          <w:tcPr>
            <w:tcW w:w="1843" w:type="dxa"/>
            <w:gridSpan w:val="2"/>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危险特性</w:t>
            </w:r>
          </w:p>
        </w:tc>
        <w:tc>
          <w:tcPr>
            <w:tcW w:w="2886" w:type="dxa"/>
            <w:gridSpan w:val="2"/>
            <w:vMerge w:val="restart"/>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不燃。若遇高热，容器内压增大，有开裂和爆炸的危险。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建规火险分级</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戊</w:t>
            </w:r>
          </w:p>
        </w:tc>
        <w:tc>
          <w:tcPr>
            <w:tcW w:w="1843"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闪点（℃）</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无意义</w:t>
            </w:r>
          </w:p>
        </w:tc>
        <w:tc>
          <w:tcPr>
            <w:tcW w:w="1843"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引燃温度（℃）</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无意义</w:t>
            </w:r>
          </w:p>
        </w:tc>
        <w:tc>
          <w:tcPr>
            <w:tcW w:w="1843"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爆炸下限（V/%）</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无意义</w:t>
            </w:r>
          </w:p>
        </w:tc>
        <w:tc>
          <w:tcPr>
            <w:tcW w:w="1843"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2886" w:type="dxa"/>
            <w:gridSpan w:val="2"/>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爆炸上限（V/%）</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无意义</w:t>
            </w:r>
          </w:p>
        </w:tc>
        <w:tc>
          <w:tcPr>
            <w:tcW w:w="1843" w:type="dxa"/>
            <w:gridSpan w:val="2"/>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燃烧（分解）产物</w:t>
            </w:r>
          </w:p>
        </w:tc>
        <w:tc>
          <w:tcPr>
            <w:tcW w:w="2886" w:type="dxa"/>
            <w:gridSpan w:val="2"/>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氧化硫。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稳定性</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稳定</w:t>
            </w:r>
          </w:p>
        </w:tc>
        <w:tc>
          <w:tcPr>
            <w:tcW w:w="1133"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cs="宋体"/>
                <w:szCs w:val="21"/>
              </w:rPr>
            </w:pPr>
            <w:r>
              <w:rPr>
                <w:rFonts w:hint="default" w:cs="宋体"/>
                <w:szCs w:val="21"/>
              </w:rPr>
              <w:t>灭火方法</w:t>
            </w:r>
          </w:p>
        </w:tc>
        <w:tc>
          <w:tcPr>
            <w:tcW w:w="3596" w:type="dxa"/>
            <w:gridSpan w:val="3"/>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本品不燃。消防人员必须佩戴过滤式防毒面具（全面罩）或隔离式呼吸器、穿全身防火防毒服，在上风向灭火。切断气源。喷水冷却容器，可能的话将容器从火场移至空旷处。灭火剂</w:t>
            </w:r>
            <w:r>
              <w:rPr>
                <w:rFonts w:hint="eastAsia"/>
                <w:szCs w:val="21"/>
                <w:lang w:eastAsia="zh-CN"/>
              </w:rPr>
              <w:t>：</w:t>
            </w:r>
            <w:r>
              <w:rPr>
                <w:rFonts w:hint="eastAsia"/>
                <w:szCs w:val="21"/>
              </w:rPr>
              <w:t>雾状水、泡沫、二氧化碳。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聚合危害</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不能出现</w:t>
            </w:r>
          </w:p>
        </w:tc>
        <w:tc>
          <w:tcPr>
            <w:tcW w:w="19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禁忌物</w:t>
            </w:r>
          </w:p>
        </w:tc>
        <w:tc>
          <w:tcPr>
            <w:tcW w:w="274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强还原剂、强氧化剂、易燃或可燃物。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601"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包装与储运</w:t>
            </w: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rPr>
              <w:t>危险货物包装标志</w:t>
            </w:r>
          </w:p>
        </w:tc>
        <w:tc>
          <w:tcPr>
            <w:tcW w:w="1275" w:type="dxa"/>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Cs w:val="21"/>
              </w:rPr>
              <w:t>无资料</w:t>
            </w:r>
          </w:p>
        </w:tc>
        <w:tc>
          <w:tcPr>
            <w:tcW w:w="1985" w:type="dxa"/>
            <w:gridSpan w:val="3"/>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包装类别</w:t>
            </w:r>
          </w:p>
        </w:tc>
        <w:tc>
          <w:tcPr>
            <w:tcW w:w="2744"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default"/>
                <w:szCs w:val="21"/>
              </w:rPr>
              <w:t>O52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eastAsia="zh-CN"/>
              </w:rPr>
            </w:pPr>
            <w:r>
              <w:rPr>
                <w:rFonts w:hint="eastAsia"/>
                <w:szCs w:val="21"/>
              </w:rPr>
              <w:t>储运注意事项</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储存注意事项</w:t>
            </w:r>
            <w:r>
              <w:rPr>
                <w:rFonts w:hint="eastAsia"/>
                <w:szCs w:val="21"/>
                <w:lang w:eastAsia="zh-CN"/>
              </w:rPr>
              <w:t>：</w:t>
            </w:r>
            <w:r>
              <w:rPr>
                <w:rFonts w:hint="eastAsia"/>
                <w:szCs w:val="21"/>
              </w:rPr>
              <w:t>储存于阴凉、通风的库房。远离火种、热源。库温不宜超过30℃。应与易（可）燃物、氧化剂、还原剂、食用化学品分开存放，切忌混储。储区应备有泄漏应急处理设备。</w:t>
            </w:r>
          </w:p>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运输注意事项</w:t>
            </w:r>
            <w:r>
              <w:rPr>
                <w:rFonts w:hint="eastAsia"/>
                <w:szCs w:val="21"/>
                <w:lang w:eastAsia="zh-CN"/>
              </w:rPr>
              <w:t>：</w:t>
            </w:r>
            <w:r>
              <w:rPr>
                <w:rFonts w:hint="eastAsia"/>
                <w:szCs w:val="21"/>
              </w:rPr>
              <w:t>本品铁路运输时限使用耐压液化气企业自备罐车装运，装运前需报有关部门批准。铁路运输时应严格按照铁道部《危险货物运输规则》中的危险货物配装表进行配装。采用刚瓶运输时必须戴好钢瓶上的安全帽。钢瓶一般平放，并应将瓶口朝同一方向，不可交叉；高度不得超过车辆的防护栏板，并用三角木垫卡牢，防止滚动。严禁与易燃物或可燃物、氧化剂、还原剂、食用化学品等混装混运。夏季应早晚运输，防止日光曝晒。公路运输时要按规定路线行驶，禁止在居民区和人口稠密区停留。铁路运输时要禁止溜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毒性与健康危害性</w:t>
            </w: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接触限值</w:t>
            </w:r>
          </w:p>
        </w:tc>
        <w:tc>
          <w:tcPr>
            <w:tcW w:w="6004" w:type="dxa"/>
            <w:gridSpan w:val="5"/>
            <w:vAlign w:val="center"/>
          </w:tcPr>
          <w:p>
            <w:pPr>
              <w:keepNext w:val="0"/>
              <w:keepLines w:val="0"/>
              <w:suppressLineNumbers w:val="0"/>
              <w:adjustRightInd w:val="0"/>
              <w:snapToGrid w:val="0"/>
              <w:spacing w:before="20" w:beforeAutospacing="0" w:after="20" w:afterAutospacing="0"/>
              <w:ind w:left="0" w:right="0"/>
              <w:rPr>
                <w:rFonts w:hint="default"/>
                <w:szCs w:val="21"/>
              </w:rPr>
            </w:pPr>
            <w:r>
              <w:rPr>
                <w:rFonts w:hint="eastAsia"/>
                <w:szCs w:val="21"/>
              </w:rPr>
              <w:t>中国TLV（mg/m</w:t>
            </w:r>
            <w:r>
              <w:rPr>
                <w:rFonts w:hint="eastAsia"/>
                <w:szCs w:val="21"/>
                <w:vertAlign w:val="superscript"/>
              </w:rPr>
              <w:t>3</w:t>
            </w:r>
            <w:r>
              <w:rPr>
                <w:rFonts w:hint="eastAsia"/>
                <w:szCs w:val="21"/>
              </w:rPr>
              <w:t>）</w:t>
            </w:r>
            <w:r>
              <w:rPr>
                <w:rFonts w:hint="eastAsia"/>
                <w:szCs w:val="21"/>
                <w:lang w:eastAsia="zh-CN"/>
              </w:rPr>
              <w:t>：</w:t>
            </w:r>
            <w:r>
              <w:rPr>
                <w:rFonts w:hint="eastAsia"/>
                <w:szCs w:val="21"/>
              </w:rPr>
              <w:t>5.4（2ppm）</w:t>
            </w:r>
          </w:p>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前苏联MAC（mg/m</w:t>
            </w:r>
            <w:r>
              <w:rPr>
                <w:rFonts w:hint="eastAsia"/>
                <w:szCs w:val="21"/>
                <w:vertAlign w:val="superscript"/>
              </w:rPr>
              <w:t>3</w:t>
            </w:r>
            <w:r>
              <w:rPr>
                <w:rFonts w:hint="eastAsia"/>
                <w:szCs w:val="21"/>
              </w:rPr>
              <w:t>）</w:t>
            </w:r>
            <w:r>
              <w:rPr>
                <w:rFonts w:hint="eastAsia"/>
                <w:szCs w:val="21"/>
                <w:lang w:eastAsia="zh-CN"/>
              </w:rPr>
              <w:t>：</w:t>
            </w:r>
            <w:r>
              <w:rPr>
                <w:rFonts w:hint="eastAsia"/>
                <w:szCs w:val="21"/>
              </w:rPr>
              <w:t>10</w:t>
            </w:r>
          </w:p>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TLVTN</w:t>
            </w:r>
            <w:r>
              <w:rPr>
                <w:rFonts w:hint="eastAsia"/>
                <w:szCs w:val="21"/>
                <w:lang w:eastAsia="zh-CN"/>
              </w:rPr>
              <w:t>：</w:t>
            </w:r>
            <w:r>
              <w:rPr>
                <w:rFonts w:hint="eastAsia"/>
                <w:szCs w:val="21"/>
              </w:rPr>
              <w:t>OSHA 5ppm，13mg/m</w:t>
            </w:r>
            <w:r>
              <w:rPr>
                <w:rFonts w:hint="eastAsia"/>
                <w:szCs w:val="21"/>
                <w:vertAlign w:val="superscript"/>
              </w:rPr>
              <w:t>3</w:t>
            </w:r>
            <w:r>
              <w:rPr>
                <w:rFonts w:hint="eastAsia"/>
                <w:szCs w:val="21"/>
              </w:rPr>
              <w:t>; ACGIH 2ppm，5.2mg/m</w:t>
            </w:r>
            <w:r>
              <w:rPr>
                <w:rFonts w:hint="eastAsia"/>
                <w:szCs w:val="21"/>
                <w:vertAlign w:val="superscript"/>
              </w:rPr>
              <w:t>3</w:t>
            </w:r>
          </w:p>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TLVWN</w:t>
            </w:r>
            <w:r>
              <w:rPr>
                <w:rFonts w:hint="eastAsia"/>
                <w:szCs w:val="21"/>
                <w:lang w:eastAsia="zh-CN"/>
              </w:rPr>
              <w:t>：</w:t>
            </w:r>
            <w:r>
              <w:rPr>
                <w:rFonts w:hint="eastAsia"/>
                <w:szCs w:val="21"/>
              </w:rPr>
              <w:t>ACGIH 5ppm，13mg/m</w:t>
            </w:r>
            <w:r>
              <w:rPr>
                <w:rFonts w:hint="eastAsia"/>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毒性</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LC50</w:t>
            </w:r>
            <w:r>
              <w:rPr>
                <w:rFonts w:hint="eastAsia"/>
                <w:szCs w:val="21"/>
                <w:lang w:eastAsia="zh-CN"/>
              </w:rPr>
              <w:t>：</w:t>
            </w:r>
            <w:r>
              <w:rPr>
                <w:rFonts w:hint="eastAsia"/>
                <w:szCs w:val="21"/>
              </w:rPr>
              <w:t>6600mg/m</w:t>
            </w:r>
            <w:r>
              <w:rPr>
                <w:rFonts w:hint="eastAsia"/>
                <w:szCs w:val="21"/>
                <w:vertAlign w:val="superscript"/>
              </w:rPr>
              <w:t>3</w:t>
            </w:r>
            <w:r>
              <w:rPr>
                <w:rFonts w:hint="eastAsia"/>
                <w:szCs w:val="21"/>
              </w:rPr>
              <w:t>，1小时（大鼠吸入）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健康危害</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易被湿润的粘膜表面吸收生成亚硫酸、硫酸。对眼及呼吸道粘膜有强烈的刺激作用。大量吸入可引起肺水肿、喉水肿、声带痉挛而致窒息。 急性中毒</w:t>
            </w:r>
            <w:r>
              <w:rPr>
                <w:rFonts w:hint="eastAsia"/>
                <w:szCs w:val="21"/>
                <w:lang w:eastAsia="zh-CN"/>
              </w:rPr>
              <w:t>：</w:t>
            </w:r>
            <w:r>
              <w:rPr>
                <w:rFonts w:hint="eastAsia"/>
                <w:szCs w:val="21"/>
              </w:rPr>
              <w:t>轻度中毒时，发生流泪、畏光、咳嗽，咽、喉灼痛等；严重中毒可在数小时内发生肺水肿；极高浓度吸入可引起反射性声门痉挛而致窒息。皮肤或眼接触发生炎症或灼伤。 慢性影响</w:t>
            </w:r>
            <w:r>
              <w:rPr>
                <w:rFonts w:hint="eastAsia"/>
                <w:szCs w:val="21"/>
                <w:lang w:eastAsia="zh-CN"/>
              </w:rPr>
              <w:t>：</w:t>
            </w:r>
            <w:r>
              <w:rPr>
                <w:rFonts w:hint="eastAsia"/>
                <w:szCs w:val="21"/>
              </w:rPr>
              <w:t>长期低浓度接触，可有头痛、头昏、乏力等全身症状以及慢性鼻炎、咽喉炎、支气管炎、嗅觉及味觉减退等。少数工人有牙齿酸蚀症。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侵入途径</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接触、吸入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急救</w:t>
            </w: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皮肤接触</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立即脱去污染的衣着，用大量流动清水冲洗。就医。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眼睛接触</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提起眼睑，用流动清水或生理盐水冲洗。就医。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吸入</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食入</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rPr>
                <w:rFonts w:hint="default"/>
                <w:szCs w:val="21"/>
              </w:rPr>
            </w:pPr>
            <w:r>
              <w:rPr>
                <w:rFonts w:hint="eastAsia"/>
                <w:szCs w:val="21"/>
              </w:rPr>
              <w:t>无资料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restar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防护措施</w:t>
            </w: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工程控制</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严加密闭，提供充分的局部排风和全面通风。提供安全淋浴和洗眼设备。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呼吸系统防护</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空气中浓度超标时，佩戴自吸过滤式防毒面具（全面罩）。紧急事态抢救或撤离时，建议佩戴正压自给式呼吸器。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眼睛防护</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呼吸系统防护中已作防护。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防护服</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穿聚乙烯防毒服。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手防护</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戴橡胶手套。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Merge w:val="continue"/>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p>
        </w:tc>
        <w:tc>
          <w:tcPr>
            <w:tcW w:w="1918"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其它</w:t>
            </w:r>
          </w:p>
        </w:tc>
        <w:tc>
          <w:tcPr>
            <w:tcW w:w="6004" w:type="dxa"/>
            <w:gridSpan w:val="5"/>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工作现场禁止吸烟、进食和饮水。工作完毕，淋浴更衣。保持良好的卫生习惯。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1" w:type="dxa"/>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rPr>
            </w:pPr>
            <w:r>
              <w:rPr>
                <w:rFonts w:hint="eastAsia"/>
                <w:szCs w:val="21"/>
              </w:rPr>
              <w:t>泄漏处置</w:t>
            </w:r>
          </w:p>
        </w:tc>
        <w:tc>
          <w:tcPr>
            <w:tcW w:w="7922" w:type="dxa"/>
            <w:gridSpan w:val="6"/>
            <w:vAlign w:val="center"/>
          </w:tcPr>
          <w:p>
            <w:pPr>
              <w:keepNext w:val="0"/>
              <w:keepLines w:val="0"/>
              <w:suppressLineNumbers w:val="0"/>
              <w:adjustRightInd w:val="0"/>
              <w:snapToGrid w:val="0"/>
              <w:spacing w:before="62" w:beforeLines="20" w:beforeAutospacing="0" w:after="62" w:afterLines="20" w:afterAutospacing="0"/>
              <w:ind w:left="0" w:right="0"/>
              <w:jc w:val="left"/>
              <w:rPr>
                <w:rFonts w:hint="default"/>
                <w:szCs w:val="21"/>
              </w:rPr>
            </w:pPr>
            <w:r>
              <w:rPr>
                <w:rFonts w:hint="eastAsia"/>
                <w:szCs w:val="21"/>
              </w:rPr>
              <w:t>迅速撤离泄漏污染区人员至上风处，并立即进行隔离，小泄漏时隔离150m，大泄漏时隔离450m，严格限制出入。建议应急处理人员戴自给正压式呼吸器，穿防毒服。从上风处进入现场。尽可能切断泄漏源。用工业覆盖层或吸附/ 吸收剂盖住泄漏点附近的下水道等地方，防止气体进入。合理通风，加速扩散。喷雾状水稀释、溶解。构筑围堤或挖坑收容产生的大量废水。如有可能，用一捉捕器使气体通过次氯酸钠溶液。漏气容器要妥善处理，修复、检验后再用。</w:t>
            </w:r>
          </w:p>
        </w:tc>
      </w:tr>
    </w:tbl>
    <w:p>
      <w:pPr>
        <w:pStyle w:val="4"/>
        <w:adjustRightInd w:val="0"/>
        <w:snapToGrid w:val="0"/>
        <w:spacing w:before="156" w:beforeLines="50" w:after="0" w:line="360" w:lineRule="auto"/>
        <w:rPr>
          <w:rFonts w:ascii="Times New Roman" w:hAnsi="Times New Roman"/>
          <w:b w:val="0"/>
          <w:bCs/>
          <w:szCs w:val="32"/>
        </w:rPr>
      </w:pPr>
      <w:bookmarkStart w:id="46" w:name="_Toc447782516"/>
      <w:bookmarkStart w:id="47" w:name="_Toc26534933"/>
      <w:bookmarkStart w:id="48" w:name="_Toc397326901"/>
      <w:bookmarkStart w:id="49" w:name="_Toc366438843"/>
      <w:bookmarkStart w:id="50" w:name="_Toc26745"/>
      <w:r>
        <w:rPr>
          <w:rFonts w:hint="eastAsia" w:ascii="Times New Roman" w:hAnsi="Times New Roman"/>
          <w:b w:val="0"/>
          <w:bCs/>
          <w:szCs w:val="32"/>
        </w:rPr>
        <w:t>3.2 主要工艺设备危险性分析</w:t>
      </w:r>
      <w:bookmarkEnd w:id="46"/>
      <w:bookmarkEnd w:id="47"/>
      <w:bookmarkEnd w:id="48"/>
      <w:bookmarkEnd w:id="49"/>
      <w:bookmarkEnd w:id="50"/>
    </w:p>
    <w:p>
      <w:pPr>
        <w:adjustRightInd w:val="0"/>
        <w:snapToGrid w:val="0"/>
        <w:spacing w:line="360" w:lineRule="auto"/>
        <w:ind w:firstLine="560" w:firstLineChars="200"/>
        <w:rPr>
          <w:sz w:val="28"/>
          <w:szCs w:val="28"/>
        </w:rPr>
      </w:pPr>
      <w:r>
        <w:rPr>
          <w:rFonts w:hint="eastAsia"/>
          <w:sz w:val="28"/>
          <w:szCs w:val="28"/>
        </w:rPr>
        <w:t>斯伦贝谢油田技术（山东）有限公司</w:t>
      </w:r>
      <w:r>
        <w:rPr>
          <w:rFonts w:hint="eastAsia"/>
          <w:sz w:val="28"/>
          <w:szCs w:val="28"/>
          <w:lang w:eastAsia="zh-CN"/>
        </w:rPr>
        <w:t>定向施工</w:t>
      </w:r>
      <w:r>
        <w:rPr>
          <w:rFonts w:hint="eastAsia"/>
          <w:sz w:val="28"/>
          <w:szCs w:val="28"/>
        </w:rPr>
        <w:t>作业使用的设备一般包括井下设备和地面设备两大部份。现场作业时，由现场专业作业队伍进行仪器入井和仪器出井作业，作业人员仅负责监督及地面准备、浅层测试等作业。井下设备主要由定向探管、脉冲发生器以及电池筒组成，呈筒状。地面设备主要由专用机、司显、仪器支架、打捞杆、线滚子等组成。</w:t>
      </w:r>
    </w:p>
    <w:p>
      <w:pPr>
        <w:adjustRightInd w:val="0"/>
        <w:snapToGrid w:val="0"/>
        <w:spacing w:line="360" w:lineRule="auto"/>
        <w:ind w:firstLine="560" w:firstLineChars="200"/>
        <w:rPr>
          <w:rFonts w:hint="eastAsia"/>
          <w:sz w:val="28"/>
          <w:szCs w:val="28"/>
          <w:lang w:val="en-US" w:eastAsia="zh-CN"/>
        </w:rPr>
      </w:pPr>
      <w:r>
        <w:rPr>
          <w:rFonts w:hint="eastAsia"/>
          <w:sz w:val="28"/>
          <w:szCs w:val="28"/>
          <w:lang w:val="en-US" w:eastAsia="zh-CN"/>
        </w:rPr>
        <w:t>作业现场布置的野营房若地针深度不足，接地不良，接地方式不符合仪器用电要求，易发生人员触电或电气设施烧毁事故，仪器、定向接头连接不规范，未按照操作标准进行检查，易烧毁探管；多点杆件发生变形，连接不牢固，容易导致泥浆进入杆件内，造成仪器短路及报废；电子多点测斜仪链接不准确，易烧毁探管，人员受伤。</w:t>
      </w:r>
    </w:p>
    <w:p>
      <w:pPr>
        <w:pStyle w:val="4"/>
        <w:adjustRightInd w:val="0"/>
        <w:snapToGrid w:val="0"/>
        <w:spacing w:before="156" w:beforeLines="50" w:after="0" w:line="360" w:lineRule="auto"/>
        <w:rPr>
          <w:rFonts w:ascii="Times New Roman" w:hAnsi="Times New Roman"/>
          <w:b w:val="0"/>
          <w:bCs/>
          <w:szCs w:val="32"/>
        </w:rPr>
      </w:pPr>
      <w:bookmarkStart w:id="51" w:name="_Toc11320"/>
      <w:r>
        <w:rPr>
          <w:rFonts w:hint="eastAsia" w:ascii="Times New Roman" w:hAnsi="Times New Roman"/>
          <w:b w:val="0"/>
          <w:bCs/>
          <w:szCs w:val="32"/>
        </w:rPr>
        <w:t>3.</w:t>
      </w:r>
      <w:r>
        <w:rPr>
          <w:rFonts w:hint="eastAsia" w:ascii="Times New Roman" w:hAnsi="Times New Roman"/>
          <w:b w:val="0"/>
          <w:bCs/>
          <w:szCs w:val="32"/>
          <w:lang w:val="en-US" w:eastAsia="zh-CN"/>
        </w:rPr>
        <w:t>3</w:t>
      </w:r>
      <w:r>
        <w:rPr>
          <w:rFonts w:hint="eastAsia" w:ascii="Times New Roman" w:hAnsi="Times New Roman"/>
          <w:b w:val="0"/>
          <w:bCs/>
          <w:szCs w:val="32"/>
        </w:rPr>
        <w:t xml:space="preserve"> </w:t>
      </w:r>
      <w:r>
        <w:rPr>
          <w:rFonts w:hint="eastAsia" w:ascii="Times New Roman" w:hAnsi="Times New Roman"/>
          <w:b w:val="0"/>
          <w:bCs/>
          <w:szCs w:val="32"/>
          <w:lang w:val="en-US" w:eastAsia="zh-CN"/>
        </w:rPr>
        <w:t>施工过程中的</w:t>
      </w:r>
      <w:r>
        <w:rPr>
          <w:rFonts w:hint="eastAsia" w:ascii="Times New Roman" w:hAnsi="Times New Roman"/>
          <w:b w:val="0"/>
          <w:bCs/>
          <w:szCs w:val="32"/>
        </w:rPr>
        <w:t>危险性分析</w:t>
      </w:r>
      <w:bookmarkEnd w:id="51"/>
    </w:p>
    <w:p>
      <w:pPr>
        <w:adjustRightInd w:val="0"/>
        <w:snapToGrid w:val="0"/>
        <w:spacing w:line="360" w:lineRule="auto"/>
        <w:ind w:firstLine="560" w:firstLineChars="200"/>
        <w:rPr>
          <w:rFonts w:hint="default"/>
          <w:snapToGrid w:val="0"/>
          <w:color w:val="auto"/>
          <w:kern w:val="0"/>
          <w:sz w:val="28"/>
          <w:szCs w:val="28"/>
          <w:lang w:val="en-US" w:eastAsia="zh-CN"/>
        </w:rPr>
      </w:pPr>
      <w:r>
        <w:rPr>
          <w:rFonts w:hint="eastAsia"/>
          <w:snapToGrid w:val="0"/>
          <w:color w:val="auto"/>
          <w:kern w:val="0"/>
          <w:sz w:val="28"/>
          <w:szCs w:val="28"/>
          <w:lang w:val="en-US" w:eastAsia="zh-CN"/>
        </w:rPr>
        <w:t>1.井场布置与电路连接</w:t>
      </w:r>
    </w:p>
    <w:p>
      <w:pPr>
        <w:adjustRightInd w:val="0"/>
        <w:snapToGrid w:val="0"/>
        <w:spacing w:line="360" w:lineRule="auto"/>
        <w:ind w:firstLine="560" w:firstLineChars="200"/>
        <w:rPr>
          <w:rFonts w:hint="default"/>
          <w:snapToGrid w:val="0"/>
          <w:color w:val="auto"/>
          <w:kern w:val="0"/>
          <w:sz w:val="28"/>
          <w:szCs w:val="28"/>
          <w:lang w:val="en-US" w:eastAsia="zh-CN"/>
        </w:rPr>
      </w:pPr>
      <w:r>
        <w:rPr>
          <w:rFonts w:hint="eastAsia"/>
          <w:snapToGrid w:val="0"/>
          <w:color w:val="auto"/>
          <w:kern w:val="0"/>
          <w:sz w:val="28"/>
          <w:szCs w:val="28"/>
          <w:lang w:val="en-US" w:eastAsia="zh-CN"/>
        </w:rPr>
        <w:t>若野营房距离井架、跑道、机房等设施过近，可能造成物体打击，噪声等职业危害；人员连接线路时操作不当，或未佩戴劳动防护用品，设备或线路本身漏电，可能造成触电事故。</w:t>
      </w:r>
    </w:p>
    <w:p>
      <w:pPr>
        <w:adjustRightInd w:val="0"/>
        <w:snapToGrid w:val="0"/>
        <w:spacing w:line="360" w:lineRule="auto"/>
        <w:ind w:firstLine="560" w:firstLineChars="200"/>
        <w:rPr>
          <w:rFonts w:hint="default"/>
          <w:snapToGrid w:val="0"/>
          <w:color w:val="auto"/>
          <w:kern w:val="0"/>
          <w:sz w:val="28"/>
          <w:szCs w:val="28"/>
          <w:lang w:val="en-US" w:eastAsia="zh-CN"/>
        </w:rPr>
      </w:pPr>
      <w:r>
        <w:rPr>
          <w:rFonts w:hint="eastAsia"/>
          <w:snapToGrid w:val="0"/>
          <w:color w:val="auto"/>
          <w:kern w:val="0"/>
          <w:sz w:val="28"/>
          <w:szCs w:val="28"/>
          <w:lang w:val="en-US" w:eastAsia="zh-CN"/>
        </w:rPr>
        <w:t>2.仪器连接及测试</w:t>
      </w:r>
    </w:p>
    <w:p>
      <w:pPr>
        <w:adjustRightInd w:val="0"/>
        <w:snapToGrid w:val="0"/>
        <w:spacing w:line="360" w:lineRule="auto"/>
        <w:ind w:firstLine="560" w:firstLineChars="200"/>
        <w:rPr>
          <w:rFonts w:hint="default"/>
          <w:snapToGrid w:val="0"/>
          <w:color w:val="auto"/>
          <w:kern w:val="0"/>
          <w:sz w:val="28"/>
          <w:szCs w:val="28"/>
          <w:lang w:val="en-US" w:eastAsia="zh-CN"/>
        </w:rPr>
      </w:pPr>
      <w:r>
        <w:rPr>
          <w:rFonts w:hint="eastAsia"/>
          <w:snapToGrid w:val="0"/>
          <w:color w:val="auto"/>
          <w:kern w:val="0"/>
          <w:sz w:val="28"/>
          <w:szCs w:val="28"/>
          <w:lang w:val="en-US" w:eastAsia="zh-CN"/>
        </w:rPr>
        <w:t>仪器/工程施工人员在测斜仪的连接及测试过程中，使用抱钳对仪器进行连接时，容易造成人员夹伤。</w:t>
      </w:r>
    </w:p>
    <w:p>
      <w:pPr>
        <w:adjustRightInd w:val="0"/>
        <w:snapToGrid w:val="0"/>
        <w:spacing w:line="360" w:lineRule="auto"/>
        <w:ind w:firstLine="560" w:firstLineChars="200"/>
        <w:rPr>
          <w:rFonts w:hint="default"/>
          <w:snapToGrid w:val="0"/>
          <w:color w:val="auto"/>
          <w:kern w:val="0"/>
          <w:sz w:val="28"/>
          <w:szCs w:val="28"/>
          <w:lang w:val="en-US" w:eastAsia="zh-CN"/>
        </w:rPr>
      </w:pPr>
      <w:r>
        <w:rPr>
          <w:rFonts w:hint="eastAsia"/>
          <w:snapToGrid w:val="0"/>
          <w:color w:val="auto"/>
          <w:kern w:val="0"/>
          <w:sz w:val="28"/>
          <w:szCs w:val="28"/>
          <w:lang w:val="en-US" w:eastAsia="zh-CN"/>
        </w:rPr>
        <w:t>3.仪器的投放及数据读取</w:t>
      </w:r>
    </w:p>
    <w:p>
      <w:pPr>
        <w:adjustRightInd w:val="0"/>
        <w:snapToGrid w:val="0"/>
        <w:spacing w:line="360" w:lineRule="auto"/>
        <w:ind w:firstLine="560" w:firstLineChars="200"/>
        <w:rPr>
          <w:rFonts w:hint="default"/>
          <w:snapToGrid w:val="0"/>
          <w:color w:val="auto"/>
          <w:kern w:val="0"/>
          <w:sz w:val="28"/>
          <w:szCs w:val="28"/>
          <w:lang w:val="en-US" w:eastAsia="zh-CN"/>
        </w:rPr>
      </w:pPr>
      <w:r>
        <w:rPr>
          <w:rFonts w:hint="eastAsia"/>
          <w:snapToGrid w:val="0"/>
          <w:color w:val="auto"/>
          <w:kern w:val="0"/>
          <w:sz w:val="28"/>
          <w:szCs w:val="28"/>
          <w:lang w:val="en-US" w:eastAsia="zh-CN"/>
        </w:rPr>
        <w:t>在仪器投放过程中，人员操作不当，杆件滑落可能造成物体打击事故。</w:t>
      </w:r>
    </w:p>
    <w:p>
      <w:pPr>
        <w:adjustRightInd w:val="0"/>
        <w:snapToGrid w:val="0"/>
        <w:spacing w:line="360" w:lineRule="auto"/>
        <w:ind w:firstLine="560" w:firstLineChars="200"/>
        <w:rPr>
          <w:rFonts w:hint="default"/>
          <w:snapToGrid w:val="0"/>
          <w:color w:val="auto"/>
          <w:kern w:val="0"/>
          <w:sz w:val="28"/>
          <w:szCs w:val="28"/>
          <w:lang w:val="en-US" w:eastAsia="zh-CN"/>
        </w:rPr>
      </w:pPr>
      <w:r>
        <w:rPr>
          <w:rFonts w:hint="eastAsia"/>
          <w:snapToGrid w:val="0"/>
          <w:color w:val="auto"/>
          <w:kern w:val="0"/>
          <w:sz w:val="28"/>
          <w:szCs w:val="28"/>
          <w:lang w:val="en-US" w:eastAsia="zh-CN"/>
        </w:rPr>
        <w:t>4.定向井现场施工</w:t>
      </w:r>
    </w:p>
    <w:p>
      <w:pPr>
        <w:adjustRightInd w:val="0"/>
        <w:snapToGrid w:val="0"/>
        <w:spacing w:line="360" w:lineRule="auto"/>
        <w:ind w:firstLine="560" w:firstLineChars="200"/>
        <w:rPr>
          <w:rFonts w:hint="default"/>
          <w:snapToGrid w:val="0"/>
          <w:color w:val="auto"/>
          <w:kern w:val="0"/>
          <w:sz w:val="28"/>
          <w:szCs w:val="28"/>
          <w:lang w:val="en-US" w:eastAsia="zh-CN"/>
        </w:rPr>
      </w:pPr>
      <w:r>
        <w:rPr>
          <w:rFonts w:hint="eastAsia"/>
          <w:snapToGrid w:val="0"/>
          <w:color w:val="auto"/>
          <w:kern w:val="0"/>
          <w:sz w:val="28"/>
          <w:szCs w:val="28"/>
          <w:lang w:val="en-US" w:eastAsia="zh-CN"/>
        </w:rPr>
        <w:t>在作业过程中</w:t>
      </w:r>
      <w:r>
        <w:rPr>
          <w:rFonts w:hint="eastAsia"/>
          <w:color w:val="auto"/>
          <w:sz w:val="28"/>
          <w:szCs w:val="28"/>
        </w:rPr>
        <w:t>发生井喷</w:t>
      </w:r>
      <w:r>
        <w:rPr>
          <w:rFonts w:hint="eastAsia"/>
          <w:color w:val="auto"/>
          <w:sz w:val="28"/>
          <w:szCs w:val="28"/>
          <w:lang w:eastAsia="zh-CN"/>
        </w:rPr>
        <w:t>，</w:t>
      </w:r>
      <w:r>
        <w:rPr>
          <w:rFonts w:hint="eastAsia"/>
          <w:color w:val="auto"/>
          <w:sz w:val="28"/>
          <w:szCs w:val="28"/>
        </w:rPr>
        <w:t>井喷后井口装置和井控管汇失去了对油气井的有效控制</w:t>
      </w:r>
      <w:r>
        <w:rPr>
          <w:rFonts w:hint="eastAsia"/>
          <w:color w:val="auto"/>
          <w:sz w:val="28"/>
          <w:szCs w:val="28"/>
          <w:lang w:eastAsia="zh-CN"/>
        </w:rPr>
        <w:t>，</w:t>
      </w:r>
      <w:r>
        <w:rPr>
          <w:rFonts w:hint="eastAsia"/>
          <w:color w:val="auto"/>
          <w:sz w:val="28"/>
          <w:szCs w:val="28"/>
        </w:rPr>
        <w:t>遇点火源可能</w:t>
      </w:r>
      <w:r>
        <w:rPr>
          <w:color w:val="auto"/>
          <w:sz w:val="28"/>
          <w:szCs w:val="28"/>
        </w:rPr>
        <w:t>引起</w:t>
      </w:r>
      <w:r>
        <w:rPr>
          <w:rFonts w:hint="eastAsia"/>
          <w:color w:val="auto"/>
          <w:sz w:val="28"/>
          <w:szCs w:val="28"/>
        </w:rPr>
        <w:t>火灾、爆炸</w:t>
      </w:r>
      <w:r>
        <w:rPr>
          <w:rFonts w:hint="eastAsia"/>
          <w:color w:val="auto"/>
          <w:sz w:val="28"/>
          <w:szCs w:val="28"/>
          <w:lang w:eastAsia="zh-CN"/>
        </w:rPr>
        <w:t>；</w:t>
      </w:r>
      <w:r>
        <w:rPr>
          <w:rFonts w:hint="eastAsia"/>
          <w:snapToGrid w:val="0"/>
          <w:color w:val="auto"/>
          <w:kern w:val="0"/>
          <w:sz w:val="28"/>
          <w:szCs w:val="28"/>
          <w:lang w:val="en-US" w:eastAsia="zh-CN"/>
        </w:rPr>
        <w:t>油气泄漏后，天然气或含硫气体浓度过高，可能会造成人员中毒窒息；同时在施工过程中若发生泥浆掉落，螺丝松动掉落，可能造成物体打击事故。</w:t>
      </w:r>
    </w:p>
    <w:p>
      <w:pPr>
        <w:adjustRightInd w:val="0"/>
        <w:snapToGrid w:val="0"/>
        <w:spacing w:line="360" w:lineRule="auto"/>
        <w:ind w:firstLine="560" w:firstLineChars="200"/>
        <w:rPr>
          <w:rFonts w:hint="eastAsia"/>
          <w:color w:val="auto"/>
          <w:sz w:val="28"/>
          <w:szCs w:val="28"/>
          <w:lang w:val="en-US" w:eastAsia="zh-CN"/>
        </w:rPr>
      </w:pPr>
      <w:r>
        <w:rPr>
          <w:rFonts w:hint="eastAsia"/>
          <w:snapToGrid w:val="0"/>
          <w:color w:val="auto"/>
          <w:kern w:val="0"/>
          <w:sz w:val="28"/>
          <w:szCs w:val="28"/>
          <w:lang w:val="en-US" w:eastAsia="zh-CN"/>
        </w:rPr>
        <w:t>5.吊装/卸野营房及运输过程</w:t>
      </w:r>
    </w:p>
    <w:p>
      <w:pPr>
        <w:adjustRightInd w:val="0"/>
        <w:snapToGrid w:val="0"/>
        <w:spacing w:line="360" w:lineRule="auto"/>
        <w:ind w:firstLine="560" w:firstLineChars="200"/>
        <w:rPr>
          <w:rFonts w:hint="eastAsia" w:eastAsia="宋体"/>
          <w:color w:val="auto"/>
          <w:sz w:val="28"/>
          <w:szCs w:val="28"/>
          <w:lang w:val="en-US" w:eastAsia="zh-CN"/>
        </w:rPr>
      </w:pPr>
      <w:r>
        <w:rPr>
          <w:rFonts w:hint="eastAsia"/>
          <w:color w:val="auto"/>
          <w:sz w:val="28"/>
          <w:szCs w:val="28"/>
          <w:lang w:val="en-US" w:eastAsia="zh-CN"/>
        </w:rPr>
        <w:t>在配合甲方对野营房进行吊装/卸过程中，起重设备的安全设施失效，人员违规操作，可能导致起重伤害；在运输过程中，</w:t>
      </w:r>
      <w:r>
        <w:rPr>
          <w:rFonts w:hint="eastAsia"/>
          <w:color w:val="auto"/>
          <w:sz w:val="28"/>
          <w:szCs w:val="28"/>
        </w:rPr>
        <w:t>由于</w:t>
      </w:r>
      <w:r>
        <w:rPr>
          <w:rFonts w:hint="eastAsia"/>
          <w:color w:val="auto"/>
          <w:sz w:val="28"/>
          <w:szCs w:val="28"/>
          <w:lang w:val="en-US" w:eastAsia="zh-CN"/>
        </w:rPr>
        <w:t>车辆</w:t>
      </w:r>
      <w:r>
        <w:rPr>
          <w:rFonts w:hint="eastAsia"/>
          <w:color w:val="auto"/>
          <w:sz w:val="28"/>
          <w:szCs w:val="28"/>
        </w:rPr>
        <w:t>故障、视野不良、人员操作失误或违章等，可能造成</w:t>
      </w:r>
      <w:r>
        <w:rPr>
          <w:rFonts w:hint="eastAsia"/>
          <w:color w:val="auto"/>
          <w:sz w:val="28"/>
          <w:szCs w:val="28"/>
          <w:lang w:val="en-US" w:eastAsia="zh-CN"/>
        </w:rPr>
        <w:t>现场</w:t>
      </w:r>
      <w:r>
        <w:rPr>
          <w:rFonts w:hint="eastAsia"/>
          <w:color w:val="auto"/>
          <w:sz w:val="28"/>
          <w:szCs w:val="28"/>
        </w:rPr>
        <w:t>人员</w:t>
      </w:r>
      <w:r>
        <w:rPr>
          <w:rFonts w:hint="eastAsia"/>
          <w:color w:val="auto"/>
          <w:sz w:val="28"/>
          <w:szCs w:val="28"/>
          <w:lang w:val="en-US" w:eastAsia="zh-CN"/>
        </w:rPr>
        <w:t>的</w:t>
      </w:r>
      <w:r>
        <w:rPr>
          <w:rFonts w:hint="eastAsia"/>
          <w:color w:val="auto"/>
          <w:sz w:val="28"/>
          <w:szCs w:val="28"/>
        </w:rPr>
        <w:t>碰伤、碾压、撞击等车辆伤害事故</w:t>
      </w:r>
      <w:r>
        <w:rPr>
          <w:rFonts w:hint="eastAsia"/>
          <w:color w:val="auto"/>
          <w:sz w:val="28"/>
          <w:szCs w:val="28"/>
          <w:lang w:eastAsia="zh-CN"/>
        </w:rPr>
        <w:t>。</w:t>
      </w:r>
    </w:p>
    <w:p>
      <w:pPr>
        <w:pStyle w:val="4"/>
        <w:adjustRightInd w:val="0"/>
        <w:snapToGrid w:val="0"/>
        <w:spacing w:before="156" w:beforeLines="50" w:after="0" w:line="360" w:lineRule="auto"/>
        <w:rPr>
          <w:rFonts w:ascii="Times New Roman" w:hAnsi="Times New Roman"/>
          <w:b w:val="0"/>
          <w:bCs/>
          <w:szCs w:val="32"/>
        </w:rPr>
      </w:pPr>
      <w:bookmarkStart w:id="52" w:name="_Toc281310741"/>
      <w:bookmarkStart w:id="53" w:name="_Toc452710136"/>
      <w:bookmarkStart w:id="54" w:name="_Toc26534934"/>
      <w:bookmarkStart w:id="55" w:name="_Toc216105912"/>
      <w:bookmarkStart w:id="56" w:name="_Toc13617"/>
      <w:r>
        <w:rPr>
          <w:rFonts w:hint="eastAsia" w:ascii="Times New Roman" w:hAnsi="Times New Roman"/>
          <w:b w:val="0"/>
          <w:bCs/>
          <w:szCs w:val="32"/>
        </w:rPr>
        <w:t>3.</w:t>
      </w:r>
      <w:r>
        <w:rPr>
          <w:rFonts w:hint="eastAsia" w:ascii="Times New Roman" w:hAnsi="Times New Roman"/>
          <w:b w:val="0"/>
          <w:bCs/>
          <w:szCs w:val="32"/>
          <w:lang w:val="en-US" w:eastAsia="zh-CN"/>
        </w:rPr>
        <w:t>4</w:t>
      </w:r>
      <w:r>
        <w:rPr>
          <w:rFonts w:hint="eastAsia" w:ascii="Times New Roman" w:hAnsi="Times New Roman"/>
          <w:b w:val="0"/>
          <w:bCs/>
          <w:szCs w:val="32"/>
        </w:rPr>
        <w:t xml:space="preserve"> 主要危险因素分析</w:t>
      </w:r>
      <w:bookmarkEnd w:id="52"/>
      <w:bookmarkEnd w:id="53"/>
      <w:bookmarkEnd w:id="54"/>
      <w:bookmarkEnd w:id="55"/>
      <w:bookmarkEnd w:id="56"/>
    </w:p>
    <w:p>
      <w:pPr>
        <w:tabs>
          <w:tab w:val="left" w:pos="0"/>
          <w:tab w:val="left" w:pos="1080"/>
        </w:tabs>
        <w:adjustRightInd w:val="0"/>
        <w:snapToGrid w:val="0"/>
        <w:spacing w:line="360" w:lineRule="auto"/>
        <w:ind w:firstLine="560" w:firstLineChars="200"/>
        <w:rPr>
          <w:sz w:val="28"/>
          <w:szCs w:val="28"/>
        </w:rPr>
      </w:pPr>
      <w:r>
        <w:rPr>
          <w:rFonts w:hint="eastAsia"/>
          <w:sz w:val="28"/>
          <w:szCs w:val="28"/>
        </w:rPr>
        <w:t>钻井（</w:t>
      </w:r>
      <w:r>
        <w:rPr>
          <w:rFonts w:hint="eastAsia"/>
          <w:sz w:val="28"/>
          <w:szCs w:val="28"/>
          <w:lang w:eastAsia="zh-CN"/>
        </w:rPr>
        <w:t>定向施工</w:t>
      </w:r>
      <w:r>
        <w:rPr>
          <w:rFonts w:hint="eastAsia"/>
          <w:sz w:val="28"/>
          <w:szCs w:val="28"/>
        </w:rPr>
        <w:t>）受井下状况影响非常大，并且钻井（</w:t>
      </w:r>
      <w:r>
        <w:rPr>
          <w:rFonts w:hint="eastAsia"/>
          <w:sz w:val="28"/>
          <w:szCs w:val="28"/>
          <w:lang w:eastAsia="zh-CN"/>
        </w:rPr>
        <w:t>定向施工</w:t>
      </w:r>
      <w:r>
        <w:rPr>
          <w:rFonts w:hint="eastAsia"/>
          <w:sz w:val="28"/>
          <w:szCs w:val="28"/>
        </w:rPr>
        <w:t>）、涉及野外临时用电，有时可能突发井喷等事故，是多种风险性并存的作业。根据斯伦贝谢油田技术（山东）有限公司钻井（</w:t>
      </w:r>
      <w:r>
        <w:rPr>
          <w:rFonts w:hint="eastAsia"/>
          <w:sz w:val="28"/>
          <w:szCs w:val="28"/>
          <w:lang w:eastAsia="zh-CN"/>
        </w:rPr>
        <w:t>定向施工</w:t>
      </w:r>
      <w:r>
        <w:rPr>
          <w:rFonts w:hint="eastAsia"/>
          <w:sz w:val="28"/>
          <w:szCs w:val="28"/>
        </w:rPr>
        <w:t>）的作业特点，主要危险、有害因素有</w:t>
      </w:r>
      <w:r>
        <w:rPr>
          <w:rFonts w:hint="eastAsia"/>
          <w:sz w:val="28"/>
          <w:szCs w:val="28"/>
          <w:lang w:eastAsia="zh-CN"/>
        </w:rPr>
        <w:t>：</w:t>
      </w:r>
      <w:r>
        <w:rPr>
          <w:rFonts w:hint="eastAsia"/>
          <w:sz w:val="28"/>
          <w:szCs w:val="28"/>
        </w:rPr>
        <w:t>火灾爆炸、井喷及井喷失控、中毒窒息、物体打击、机械伤害、触电、车辆伤害</w:t>
      </w:r>
      <w:r>
        <w:rPr>
          <w:rFonts w:hint="eastAsia"/>
          <w:sz w:val="28"/>
          <w:szCs w:val="28"/>
          <w:lang w:eastAsia="zh-CN"/>
        </w:rPr>
        <w:t>、</w:t>
      </w:r>
      <w:r>
        <w:rPr>
          <w:rFonts w:hint="eastAsia"/>
          <w:sz w:val="28"/>
          <w:szCs w:val="28"/>
          <w:lang w:val="en-US" w:eastAsia="zh-CN"/>
        </w:rPr>
        <w:t>起重伤害、高处坠落、坍塌以及其他伤害、噪声危害、毒物危害、振动危害</w:t>
      </w:r>
      <w:r>
        <w:rPr>
          <w:rFonts w:hint="eastAsia"/>
          <w:sz w:val="28"/>
          <w:szCs w:val="28"/>
        </w:rPr>
        <w:t>等。</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.1 火灾、爆炸</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石油具有较低的闪点、燃点和自燃点，具有比煤炭、木材等物质易燃烧的特性。因此，作业现场属防火、防爆的重点区域，必须严加控制。在作业中形成火灾的原因总的来说可以分为人为的失火、自然现象造成的失火、设备故障引起的失火、摩擦过热失火和过热物质引起的失火等几类。主要原因有</w:t>
      </w:r>
      <w:r>
        <w:rPr>
          <w:rFonts w:hint="eastAsia"/>
          <w:sz w:val="28"/>
          <w:szCs w:val="28"/>
          <w:lang w:eastAsia="zh-CN"/>
        </w:rPr>
        <w:t>：</w:t>
      </w:r>
    </w:p>
    <w:p>
      <w:pPr>
        <w:adjustRightInd w:val="0"/>
        <w:snapToGrid w:val="0"/>
        <w:spacing w:line="360" w:lineRule="auto"/>
        <w:ind w:firstLine="560" w:firstLineChars="200"/>
        <w:rPr>
          <w:sz w:val="28"/>
          <w:szCs w:val="28"/>
        </w:rPr>
      </w:pPr>
      <w:r>
        <w:rPr>
          <w:rFonts w:hint="eastAsia"/>
          <w:sz w:val="28"/>
          <w:szCs w:val="28"/>
        </w:rPr>
        <w:t>1.在作业过程中发生井喷及由于设备本身存在缺陷或违章操作等导致油气泄露、聚集，遇点火源可能</w:t>
      </w:r>
      <w:r>
        <w:rPr>
          <w:sz w:val="28"/>
          <w:szCs w:val="28"/>
        </w:rPr>
        <w:t>引起</w:t>
      </w:r>
      <w:r>
        <w:rPr>
          <w:rFonts w:hint="eastAsia"/>
          <w:sz w:val="28"/>
          <w:szCs w:val="28"/>
        </w:rPr>
        <w:t>火灾、爆炸；</w:t>
      </w:r>
    </w:p>
    <w:p>
      <w:pPr>
        <w:adjustRightInd w:val="0"/>
        <w:snapToGrid w:val="0"/>
        <w:spacing w:line="360" w:lineRule="auto"/>
        <w:ind w:firstLine="560" w:firstLineChars="200"/>
        <w:rPr>
          <w:sz w:val="28"/>
          <w:szCs w:val="28"/>
        </w:rPr>
      </w:pPr>
      <w:r>
        <w:rPr>
          <w:rFonts w:hint="eastAsia"/>
          <w:sz w:val="28"/>
          <w:szCs w:val="28"/>
        </w:rPr>
        <w:t>2.仪器短路、过载、接触不良、散热不良，照明器具安置或使用不当等，易发生电气火灾。</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其中作业中易燃、易爆介质的来源主要有以下几方面</w:t>
      </w:r>
      <w:r>
        <w:rPr>
          <w:rFonts w:hint="eastAsia"/>
          <w:sz w:val="28"/>
          <w:szCs w:val="28"/>
          <w:lang w:eastAsia="zh-CN"/>
        </w:rPr>
        <w:t>：</w:t>
      </w:r>
    </w:p>
    <w:p>
      <w:pPr>
        <w:adjustRightInd w:val="0"/>
        <w:snapToGrid w:val="0"/>
        <w:spacing w:line="360" w:lineRule="auto"/>
        <w:ind w:firstLine="560" w:firstLineChars="200"/>
        <w:rPr>
          <w:sz w:val="28"/>
          <w:szCs w:val="28"/>
        </w:rPr>
      </w:pPr>
      <w:r>
        <w:rPr>
          <w:rFonts w:hint="eastAsia"/>
          <w:sz w:val="28"/>
          <w:szCs w:val="28"/>
        </w:rPr>
        <w:t>1.地层中碳氢化合物的溢出；</w:t>
      </w:r>
    </w:p>
    <w:p>
      <w:pPr>
        <w:adjustRightInd w:val="0"/>
        <w:snapToGrid w:val="0"/>
        <w:spacing w:line="360" w:lineRule="auto"/>
        <w:ind w:firstLine="560" w:firstLineChars="200"/>
        <w:rPr>
          <w:sz w:val="28"/>
          <w:szCs w:val="28"/>
        </w:rPr>
      </w:pPr>
      <w:r>
        <w:rPr>
          <w:rFonts w:hint="eastAsia"/>
          <w:sz w:val="28"/>
          <w:szCs w:val="28"/>
        </w:rPr>
        <w:t>2.井场使用的各类油料及石油助剂，如柴油、机油等易燃、易爆品；</w:t>
      </w:r>
    </w:p>
    <w:p>
      <w:pPr>
        <w:adjustRightInd w:val="0"/>
        <w:snapToGrid w:val="0"/>
        <w:spacing w:line="360" w:lineRule="auto"/>
        <w:ind w:firstLine="560" w:firstLineChars="200"/>
        <w:rPr>
          <w:sz w:val="28"/>
          <w:szCs w:val="28"/>
        </w:rPr>
      </w:pPr>
      <w:r>
        <w:rPr>
          <w:rFonts w:hint="eastAsia"/>
          <w:sz w:val="28"/>
          <w:szCs w:val="28"/>
        </w:rPr>
        <w:t>3.设备更换的废机油、清洗用废油等；</w:t>
      </w:r>
    </w:p>
    <w:p>
      <w:pPr>
        <w:adjustRightInd w:val="0"/>
        <w:snapToGrid w:val="0"/>
        <w:spacing w:line="360" w:lineRule="auto"/>
        <w:ind w:firstLine="560" w:firstLineChars="200"/>
        <w:rPr>
          <w:sz w:val="28"/>
          <w:szCs w:val="28"/>
        </w:rPr>
      </w:pPr>
      <w:r>
        <w:rPr>
          <w:rFonts w:hint="eastAsia"/>
          <w:sz w:val="28"/>
          <w:szCs w:val="28"/>
        </w:rPr>
        <w:t>4.作业施工时，落地原油，原油中溶解气、天然气的排放；发生</w:t>
      </w:r>
      <w:r>
        <w:rPr>
          <w:rFonts w:hint="eastAsia"/>
          <w:sz w:val="28"/>
          <w:szCs w:val="28"/>
          <w:lang w:eastAsia="zh-CN"/>
        </w:rPr>
        <w:t>“</w:t>
      </w:r>
      <w:r>
        <w:rPr>
          <w:rFonts w:hint="eastAsia"/>
          <w:sz w:val="28"/>
          <w:szCs w:val="28"/>
        </w:rPr>
        <w:t>井喷</w:t>
      </w:r>
      <w:r>
        <w:rPr>
          <w:rFonts w:hint="eastAsia"/>
          <w:sz w:val="28"/>
          <w:szCs w:val="28"/>
          <w:lang w:eastAsia="zh-CN"/>
        </w:rPr>
        <w:t>”</w:t>
      </w:r>
      <w:r>
        <w:rPr>
          <w:rFonts w:hint="eastAsia"/>
          <w:sz w:val="28"/>
          <w:szCs w:val="28"/>
        </w:rPr>
        <w:t>事故时，井场布满的石油；</w:t>
      </w:r>
    </w:p>
    <w:p>
      <w:pPr>
        <w:adjustRightInd w:val="0"/>
        <w:snapToGrid w:val="0"/>
        <w:spacing w:line="360" w:lineRule="auto"/>
        <w:ind w:firstLine="560" w:firstLineChars="200"/>
        <w:rPr>
          <w:sz w:val="28"/>
          <w:szCs w:val="28"/>
        </w:rPr>
      </w:pPr>
      <w:r>
        <w:rPr>
          <w:rFonts w:hint="eastAsia"/>
          <w:sz w:val="28"/>
          <w:szCs w:val="28"/>
        </w:rPr>
        <w:t>5.井场周围的干燥植物，如庄稼、荒草等；</w:t>
      </w:r>
    </w:p>
    <w:p>
      <w:pPr>
        <w:adjustRightInd w:val="0"/>
        <w:snapToGrid w:val="0"/>
        <w:spacing w:line="360" w:lineRule="auto"/>
        <w:ind w:firstLine="560" w:firstLineChars="200"/>
        <w:rPr>
          <w:sz w:val="28"/>
          <w:szCs w:val="28"/>
        </w:rPr>
      </w:pPr>
      <w:r>
        <w:rPr>
          <w:rFonts w:hint="eastAsia"/>
          <w:sz w:val="28"/>
          <w:szCs w:val="28"/>
        </w:rPr>
        <w:t>6.施工营房内的可燃物，如棉被、衣物、塑料及其他可燃纤维材料；</w:t>
      </w:r>
    </w:p>
    <w:p>
      <w:pPr>
        <w:adjustRightInd w:val="0"/>
        <w:snapToGrid w:val="0"/>
        <w:spacing w:line="360" w:lineRule="auto"/>
        <w:ind w:firstLine="560" w:firstLineChars="200"/>
        <w:rPr>
          <w:sz w:val="28"/>
          <w:szCs w:val="28"/>
        </w:rPr>
      </w:pPr>
      <w:r>
        <w:rPr>
          <w:sz w:val="28"/>
          <w:szCs w:val="28"/>
        </w:rPr>
        <w:t>7</w:t>
      </w:r>
      <w:r>
        <w:rPr>
          <w:rFonts w:hint="eastAsia"/>
          <w:sz w:val="28"/>
          <w:szCs w:val="28"/>
        </w:rPr>
        <w:t>.其他易燃、易爆介质。</w:t>
      </w:r>
    </w:p>
    <w:p>
      <w:pPr>
        <w:adjustRightInd w:val="0"/>
        <w:snapToGrid w:val="0"/>
        <w:spacing w:line="360" w:lineRule="auto"/>
        <w:ind w:firstLine="560" w:firstLineChars="200"/>
        <w:rPr>
          <w:sz w:val="28"/>
          <w:szCs w:val="28"/>
        </w:rPr>
      </w:pPr>
      <w:r>
        <w:rPr>
          <w:rFonts w:hint="eastAsia"/>
          <w:sz w:val="28"/>
          <w:szCs w:val="28"/>
        </w:rPr>
        <w:t>可能引发火灾爆炸的另一类危险因素是点火源。在作业施工现场可能出现的点火源主要有</w:t>
      </w:r>
      <w:r>
        <w:rPr>
          <w:rFonts w:hint="eastAsia"/>
          <w:sz w:val="28"/>
          <w:szCs w:val="28"/>
          <w:lang w:eastAsia="zh-CN"/>
        </w:rPr>
        <w:t>：</w:t>
      </w:r>
      <w:r>
        <w:rPr>
          <w:rFonts w:hint="eastAsia"/>
          <w:sz w:val="28"/>
          <w:szCs w:val="28"/>
        </w:rPr>
        <w:t>吸烟明火、施工机械和施工车辆的排气管火花或其他燃烧设备的燃烧火焰、电气火花或电气运行高温、静电打火、机械火花、雷电以及在井场周围进行烧荒等明火。</w:t>
      </w:r>
    </w:p>
    <w:p>
      <w:pPr>
        <w:adjustRightInd w:val="0"/>
        <w:snapToGrid w:val="0"/>
        <w:spacing w:line="360" w:lineRule="auto"/>
        <w:ind w:firstLine="560" w:firstLineChars="200"/>
        <w:rPr>
          <w:sz w:val="28"/>
          <w:szCs w:val="28"/>
        </w:rPr>
      </w:pPr>
      <w:r>
        <w:rPr>
          <w:rFonts w:hint="eastAsia"/>
          <w:sz w:val="28"/>
          <w:szCs w:val="28"/>
        </w:rPr>
        <w:t>作业现场若消防设施摆放位置不规范、使用不当或保管不善，一旦发生火险，来不及扑灭，就会使火灾蔓延。作业队的工作性质是作业地点经常变动，频繁的搬迁作业对消防器材的完好性带来很大程度的影响。若不及时检查和更换，一旦发生火灾，就很难及时扑救，后果严重。</w:t>
      </w:r>
    </w:p>
    <w:p>
      <w:pPr>
        <w:adjustRightInd w:val="0"/>
        <w:snapToGrid w:val="0"/>
        <w:spacing w:line="360" w:lineRule="auto"/>
        <w:ind w:firstLine="560" w:firstLineChars="200"/>
        <w:rPr>
          <w:rFonts w:hint="eastAsia"/>
          <w:sz w:val="28"/>
          <w:szCs w:val="28"/>
        </w:rPr>
      </w:pPr>
      <w:r>
        <w:rPr>
          <w:rFonts w:hint="eastAsia"/>
          <w:sz w:val="28"/>
          <w:szCs w:val="28"/>
        </w:rPr>
        <w:t>另外，部分职工消防意识淡薄，也是发生火灾的原因之一。作业人员未进行安全防火知识教育培训上岗，未执行安全生产管理制度，违章作业，也可能导致火灾爆炸事故的发生。</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.2 井喷及井喷失控</w:t>
      </w:r>
    </w:p>
    <w:p>
      <w:pPr>
        <w:adjustRightInd w:val="0"/>
        <w:snapToGrid w:val="0"/>
        <w:spacing w:line="360" w:lineRule="auto"/>
        <w:ind w:firstLine="560" w:firstLineChars="200"/>
        <w:rPr>
          <w:sz w:val="28"/>
          <w:szCs w:val="28"/>
        </w:rPr>
      </w:pPr>
      <w:r>
        <w:rPr>
          <w:rFonts w:hint="eastAsia"/>
          <w:sz w:val="28"/>
          <w:szCs w:val="28"/>
        </w:rPr>
        <w:t>井喷是指当井底压力远小于地层压力时，井内流体大量喷出，在地面形成较大喷势的现象称之为井喷。</w:t>
      </w:r>
    </w:p>
    <w:p>
      <w:pPr>
        <w:adjustRightInd w:val="0"/>
        <w:snapToGrid w:val="0"/>
        <w:spacing w:line="360" w:lineRule="auto"/>
        <w:ind w:firstLine="560" w:firstLineChars="200"/>
        <w:rPr>
          <w:sz w:val="28"/>
          <w:szCs w:val="28"/>
        </w:rPr>
      </w:pPr>
      <w:r>
        <w:rPr>
          <w:rFonts w:hint="eastAsia"/>
          <w:sz w:val="28"/>
          <w:szCs w:val="28"/>
        </w:rPr>
        <w:t>井喷失控是指井喷发生后，无法用常规方法控制井口而出现井口敞喷的现象称之为井喷失控。</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作业过程中，井喷失控泛指井喷后井口装置和井控管汇失去了对油气井的有效控制，甚至着火。油井失控和气井失控各有其特点和复杂性，气井或含气油井处理更为困难。由于天然气具有密度小、可压缩、膨胀、易溶性，在钻井液中易滑脱上升，易爆炸燃烧，难以封闭等物理化学特性，因而稍有疏忽，气井和含气油井比油井更易井喷和失控着火。其危害性可概括以下八个方面</w:t>
      </w:r>
      <w:r>
        <w:rPr>
          <w:rFonts w:hint="eastAsia"/>
          <w:sz w:val="28"/>
          <w:szCs w:val="28"/>
          <w:lang w:eastAsia="zh-CN"/>
        </w:rPr>
        <w:t>：</w:t>
      </w:r>
    </w:p>
    <w:p>
      <w:pPr>
        <w:adjustRightInd w:val="0"/>
        <w:snapToGrid w:val="0"/>
        <w:spacing w:line="360" w:lineRule="auto"/>
        <w:ind w:firstLine="560" w:firstLineChars="200"/>
        <w:rPr>
          <w:sz w:val="28"/>
          <w:szCs w:val="28"/>
        </w:rPr>
      </w:pPr>
      <w:r>
        <w:rPr>
          <w:rFonts w:hint="eastAsia"/>
          <w:sz w:val="28"/>
          <w:szCs w:val="28"/>
        </w:rPr>
        <w:t>1.打乱全局的正常工作程序，影响全局生产；</w:t>
      </w:r>
    </w:p>
    <w:p>
      <w:pPr>
        <w:adjustRightInd w:val="0"/>
        <w:snapToGrid w:val="0"/>
        <w:spacing w:line="360" w:lineRule="auto"/>
        <w:ind w:firstLine="560" w:firstLineChars="200"/>
        <w:rPr>
          <w:sz w:val="28"/>
          <w:szCs w:val="28"/>
        </w:rPr>
      </w:pPr>
      <w:r>
        <w:rPr>
          <w:rFonts w:hint="eastAsia"/>
          <w:sz w:val="28"/>
          <w:szCs w:val="28"/>
        </w:rPr>
        <w:t>2.使钻井事故复杂化、恶性化；</w:t>
      </w:r>
    </w:p>
    <w:p>
      <w:pPr>
        <w:adjustRightInd w:val="0"/>
        <w:snapToGrid w:val="0"/>
        <w:spacing w:line="360" w:lineRule="auto"/>
        <w:ind w:firstLine="560" w:firstLineChars="200"/>
        <w:rPr>
          <w:sz w:val="28"/>
          <w:szCs w:val="28"/>
        </w:rPr>
      </w:pPr>
      <w:r>
        <w:rPr>
          <w:rFonts w:hint="eastAsia"/>
          <w:sz w:val="28"/>
          <w:szCs w:val="28"/>
        </w:rPr>
        <w:t>3.极易引起火灾（如井场、苇地及森林）；</w:t>
      </w:r>
    </w:p>
    <w:p>
      <w:pPr>
        <w:adjustRightInd w:val="0"/>
        <w:snapToGrid w:val="0"/>
        <w:spacing w:line="360" w:lineRule="auto"/>
        <w:ind w:firstLine="560" w:firstLineChars="200"/>
        <w:rPr>
          <w:sz w:val="28"/>
          <w:szCs w:val="28"/>
        </w:rPr>
      </w:pPr>
      <w:r>
        <w:rPr>
          <w:rFonts w:hint="eastAsia"/>
          <w:sz w:val="28"/>
          <w:szCs w:val="28"/>
        </w:rPr>
        <w:t>4.影响井场周围居民的正常生活，甚至生命安全；</w:t>
      </w:r>
    </w:p>
    <w:p>
      <w:pPr>
        <w:adjustRightInd w:val="0"/>
        <w:snapToGrid w:val="0"/>
        <w:spacing w:line="360" w:lineRule="auto"/>
        <w:ind w:firstLine="560" w:firstLineChars="200"/>
        <w:rPr>
          <w:sz w:val="28"/>
          <w:szCs w:val="28"/>
        </w:rPr>
      </w:pPr>
      <w:r>
        <w:rPr>
          <w:rFonts w:hint="eastAsia"/>
          <w:sz w:val="28"/>
          <w:szCs w:val="28"/>
        </w:rPr>
        <w:t>5.污染环境，影响农田渔牧业生产以及交通、通讯的正常运行等；</w:t>
      </w:r>
    </w:p>
    <w:p>
      <w:pPr>
        <w:adjustRightInd w:val="0"/>
        <w:snapToGrid w:val="0"/>
        <w:spacing w:line="360" w:lineRule="auto"/>
        <w:ind w:firstLine="560" w:firstLineChars="200"/>
        <w:rPr>
          <w:sz w:val="28"/>
          <w:szCs w:val="28"/>
        </w:rPr>
      </w:pPr>
      <w:r>
        <w:rPr>
          <w:rFonts w:hint="eastAsia"/>
          <w:sz w:val="28"/>
          <w:szCs w:val="28"/>
        </w:rPr>
        <w:t>6.伤害油气层，毁坏地下油气资源；</w:t>
      </w:r>
    </w:p>
    <w:p>
      <w:pPr>
        <w:adjustRightInd w:val="0"/>
        <w:snapToGrid w:val="0"/>
        <w:spacing w:line="360" w:lineRule="auto"/>
        <w:ind w:firstLine="560" w:firstLineChars="200"/>
        <w:rPr>
          <w:rFonts w:hint="eastAsia" w:eastAsia="宋体"/>
          <w:sz w:val="28"/>
          <w:szCs w:val="28"/>
          <w:lang w:val="en-US" w:eastAsia="zh-CN"/>
        </w:rPr>
      </w:pPr>
      <w:r>
        <w:rPr>
          <w:rFonts w:hint="eastAsia"/>
          <w:sz w:val="28"/>
          <w:szCs w:val="28"/>
        </w:rPr>
        <w:t>7.造成人力及物力上的巨大损失，严重时造成机毁人亡和油气井报废</w:t>
      </w:r>
      <w:r>
        <w:rPr>
          <w:rFonts w:hint="eastAsia"/>
          <w:sz w:val="28"/>
          <w:szCs w:val="28"/>
          <w:lang w:eastAsia="zh-CN"/>
        </w:rPr>
        <w:t>。</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.3 中毒窒息</w:t>
      </w:r>
    </w:p>
    <w:p>
      <w:pPr>
        <w:adjustRightInd w:val="0"/>
        <w:snapToGrid w:val="0"/>
        <w:spacing w:line="360" w:lineRule="auto"/>
        <w:ind w:firstLine="570"/>
        <w:rPr>
          <w:sz w:val="28"/>
          <w:szCs w:val="28"/>
        </w:rPr>
      </w:pPr>
      <w:r>
        <w:rPr>
          <w:bCs/>
          <w:sz w:val="28"/>
        </w:rPr>
        <w:t>由于设备、管线腐蚀、损坏漏气，或者井场周围地面大面积冒气，天然气在大气中达到一定浓度，会造成人员中毒。</w:t>
      </w:r>
    </w:p>
    <w:p>
      <w:pPr>
        <w:adjustRightInd w:val="0"/>
        <w:snapToGrid w:val="0"/>
        <w:spacing w:line="360" w:lineRule="auto"/>
        <w:ind w:firstLine="560" w:firstLineChars="200"/>
        <w:rPr>
          <w:sz w:val="28"/>
          <w:szCs w:val="28"/>
        </w:rPr>
      </w:pPr>
      <w:r>
        <w:rPr>
          <w:rFonts w:hint="eastAsia"/>
          <w:bCs/>
          <w:sz w:val="28"/>
        </w:rPr>
        <w:t>含硫气体对人体具有一定的毒性，当油气井内含有大量的硫化氢气体时，作业人员在此类油气井进行钻井作业时，如果因井下情况不明或其他意外原因发生大量硫化氢气体泄漏，作业人员没有可靠的防护措施，可能导致作业人员中毒。</w:t>
      </w:r>
    </w:p>
    <w:p>
      <w:pPr>
        <w:adjustRightInd w:val="0"/>
        <w:snapToGrid w:val="0"/>
        <w:spacing w:line="360" w:lineRule="auto"/>
        <w:ind w:firstLine="560" w:firstLineChars="200"/>
        <w:rPr>
          <w:color w:val="000000"/>
          <w:sz w:val="28"/>
          <w:szCs w:val="28"/>
        </w:rPr>
      </w:pPr>
      <w:r>
        <w:rPr>
          <w:rFonts w:hint="eastAsia"/>
          <w:color w:val="000000"/>
          <w:sz w:val="28"/>
          <w:szCs w:val="28"/>
        </w:rPr>
        <w:t>不同浓度的硫化氢对人体的危害见下表3</w:t>
      </w:r>
      <w:r>
        <w:rPr>
          <w:rFonts w:hint="eastAsia"/>
          <w:color w:val="000000"/>
          <w:sz w:val="28"/>
          <w:szCs w:val="28"/>
          <w:lang w:val="en-US" w:eastAsia="zh-CN"/>
        </w:rPr>
        <w:t>.4</w:t>
      </w:r>
      <w:r>
        <w:rPr>
          <w:rFonts w:hint="eastAsia"/>
          <w:color w:val="000000"/>
          <w:sz w:val="28"/>
          <w:szCs w:val="28"/>
        </w:rPr>
        <w:t>-</w:t>
      </w:r>
      <w:r>
        <w:rPr>
          <w:rFonts w:hint="eastAsia"/>
          <w:color w:val="000000"/>
          <w:sz w:val="28"/>
          <w:szCs w:val="28"/>
          <w:lang w:val="en-US" w:eastAsia="zh-CN"/>
        </w:rPr>
        <w:t>1</w:t>
      </w:r>
      <w:r>
        <w:rPr>
          <w:rFonts w:hint="eastAsia"/>
          <w:color w:val="000000"/>
          <w:sz w:val="28"/>
          <w:szCs w:val="28"/>
        </w:rPr>
        <w:t>。</w:t>
      </w:r>
    </w:p>
    <w:p>
      <w:pPr>
        <w:pStyle w:val="5"/>
        <w:adjustRightInd w:val="0"/>
        <w:snapToGrid w:val="0"/>
        <w:spacing w:line="360" w:lineRule="auto"/>
        <w:ind w:firstLine="480"/>
        <w:jc w:val="center"/>
        <w:rPr>
          <w:b/>
          <w:bCs/>
          <w:sz w:val="24"/>
          <w:szCs w:val="28"/>
        </w:rPr>
      </w:pPr>
      <w:r>
        <w:rPr>
          <w:rFonts w:hint="eastAsia"/>
          <w:b/>
          <w:bCs/>
          <w:sz w:val="24"/>
          <w:szCs w:val="28"/>
        </w:rPr>
        <w:t>表3</w:t>
      </w:r>
      <w:r>
        <w:rPr>
          <w:rFonts w:hint="eastAsia"/>
          <w:b/>
          <w:bCs/>
          <w:sz w:val="24"/>
          <w:szCs w:val="28"/>
          <w:lang w:val="en-US" w:eastAsia="zh-CN"/>
        </w:rPr>
        <w:t>.4</w:t>
      </w:r>
      <w:r>
        <w:rPr>
          <w:rFonts w:hint="eastAsia"/>
          <w:b/>
          <w:bCs/>
          <w:sz w:val="24"/>
          <w:szCs w:val="28"/>
        </w:rPr>
        <w:t>-</w:t>
      </w:r>
      <w:r>
        <w:rPr>
          <w:rFonts w:hint="eastAsia"/>
          <w:b/>
          <w:bCs/>
          <w:sz w:val="24"/>
          <w:szCs w:val="28"/>
          <w:lang w:val="en-US" w:eastAsia="zh-CN"/>
        </w:rPr>
        <w:t>1</w:t>
      </w:r>
      <w:r>
        <w:rPr>
          <w:rFonts w:hint="eastAsia"/>
          <w:b/>
          <w:bCs/>
          <w:sz w:val="24"/>
          <w:szCs w:val="28"/>
        </w:rPr>
        <w:t xml:space="preserve"> 硫化氢对人体的危害</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03"/>
        <w:gridCol w:w="1783"/>
        <w:gridCol w:w="2321"/>
        <w:gridCol w:w="24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Cs w:val="21"/>
              </w:rPr>
            </w:pPr>
            <w:r>
              <w:rPr>
                <w:rFonts w:hint="eastAsia"/>
                <w:b/>
                <w:color w:val="000000"/>
                <w:szCs w:val="21"/>
              </w:rPr>
              <w:t>空气中浓度</w:t>
            </w:r>
          </w:p>
          <w:p>
            <w:pPr>
              <w:keepNext w:val="0"/>
              <w:keepLines w:val="0"/>
              <w:suppressLineNumbers w:val="0"/>
              <w:adjustRightInd w:val="0"/>
              <w:snapToGrid w:val="0"/>
              <w:spacing w:before="0" w:beforeAutospacing="0" w:after="0" w:afterAutospacing="0"/>
              <w:ind w:left="0" w:right="0"/>
              <w:jc w:val="center"/>
              <w:rPr>
                <w:rFonts w:hint="default"/>
                <w:b/>
                <w:color w:val="000000"/>
                <w:szCs w:val="21"/>
              </w:rPr>
            </w:pPr>
            <w:r>
              <w:rPr>
                <w:rFonts w:hint="eastAsia"/>
                <w:b/>
                <w:color w:val="000000"/>
                <w:szCs w:val="21"/>
              </w:rPr>
              <w:t>mg/m</w:t>
            </w:r>
            <w:r>
              <w:rPr>
                <w:rFonts w:hint="eastAsia"/>
                <w:b/>
                <w:color w:val="000000"/>
                <w:szCs w:val="21"/>
                <w:vertAlign w:val="superscript"/>
              </w:rPr>
              <w:t>3</w:t>
            </w:r>
            <w:r>
              <w:rPr>
                <w:rFonts w:hint="eastAsia"/>
                <w:b/>
                <w:color w:val="000000"/>
                <w:szCs w:val="21"/>
              </w:rPr>
              <w:t>（ppm）</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Cs w:val="21"/>
              </w:rPr>
            </w:pPr>
            <w:r>
              <w:rPr>
                <w:rFonts w:hint="eastAsia"/>
                <w:b/>
                <w:color w:val="000000"/>
                <w:szCs w:val="21"/>
              </w:rPr>
              <w:t>生理影响及危害</w:t>
            </w:r>
          </w:p>
        </w:tc>
        <w:tc>
          <w:tcPr>
            <w:tcW w:w="1362" w:type="pct"/>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Cs w:val="21"/>
              </w:rPr>
            </w:pPr>
            <w:r>
              <w:rPr>
                <w:rFonts w:hint="eastAsia"/>
                <w:b/>
                <w:color w:val="000000"/>
                <w:szCs w:val="21"/>
              </w:rPr>
              <w:t>空气中浓度</w:t>
            </w:r>
          </w:p>
          <w:p>
            <w:pPr>
              <w:keepNext w:val="0"/>
              <w:keepLines w:val="0"/>
              <w:suppressLineNumbers w:val="0"/>
              <w:adjustRightInd w:val="0"/>
              <w:snapToGrid w:val="0"/>
              <w:spacing w:before="0" w:beforeAutospacing="0" w:after="0" w:afterAutospacing="0"/>
              <w:ind w:left="0" w:right="0"/>
              <w:jc w:val="center"/>
              <w:rPr>
                <w:rFonts w:hint="default"/>
                <w:b/>
                <w:color w:val="000000"/>
                <w:szCs w:val="21"/>
              </w:rPr>
            </w:pPr>
            <w:r>
              <w:rPr>
                <w:rFonts w:hint="eastAsia"/>
                <w:b/>
                <w:color w:val="000000"/>
                <w:szCs w:val="21"/>
              </w:rPr>
              <w:t>mg/m</w:t>
            </w:r>
            <w:r>
              <w:rPr>
                <w:rFonts w:hint="eastAsia"/>
                <w:b/>
                <w:color w:val="000000"/>
                <w:szCs w:val="21"/>
                <w:vertAlign w:val="superscript"/>
              </w:rPr>
              <w:t>3</w:t>
            </w:r>
            <w:r>
              <w:rPr>
                <w:rFonts w:hint="eastAsia"/>
                <w:b/>
                <w:color w:val="000000"/>
                <w:szCs w:val="21"/>
              </w:rPr>
              <w:t>（ppm）</w:t>
            </w:r>
          </w:p>
        </w:tc>
        <w:tc>
          <w:tcPr>
            <w:tcW w:w="1417" w:type="pct"/>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Cs w:val="21"/>
              </w:rPr>
            </w:pPr>
            <w:r>
              <w:rPr>
                <w:rFonts w:hint="eastAsia"/>
                <w:b/>
                <w:color w:val="000000"/>
                <w:szCs w:val="21"/>
              </w:rPr>
              <w:t>生理影响及危害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0.04（0.02）</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感到臭味</w:t>
            </w:r>
          </w:p>
        </w:tc>
        <w:tc>
          <w:tcPr>
            <w:tcW w:w="1362"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300（200）</w:t>
            </w:r>
          </w:p>
        </w:tc>
        <w:tc>
          <w:tcPr>
            <w:tcW w:w="1417"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18"/>
                <w:szCs w:val="18"/>
              </w:rPr>
            </w:pPr>
            <w:r>
              <w:rPr>
                <w:rFonts w:hint="eastAsia"/>
                <w:color w:val="000000"/>
                <w:sz w:val="18"/>
                <w:szCs w:val="18"/>
              </w:rPr>
              <w:t>暴露时间长则有中毒症状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0.5（0.33）</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感到明显臭味</w:t>
            </w:r>
          </w:p>
        </w:tc>
        <w:tc>
          <w:tcPr>
            <w:tcW w:w="1362"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300～450（200～500）</w:t>
            </w:r>
          </w:p>
        </w:tc>
        <w:tc>
          <w:tcPr>
            <w:tcW w:w="1417"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暴露1h引起亚急性中毒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5.0（3.3）</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有强烈臭味</w:t>
            </w:r>
          </w:p>
        </w:tc>
        <w:tc>
          <w:tcPr>
            <w:tcW w:w="1362"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375～525（250～350）</w:t>
            </w:r>
          </w:p>
        </w:tc>
        <w:tc>
          <w:tcPr>
            <w:tcW w:w="1417"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4h～8h内有生命危险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7.5（5）</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有不快感</w:t>
            </w:r>
          </w:p>
        </w:tc>
        <w:tc>
          <w:tcPr>
            <w:tcW w:w="1362"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525～600（350～400）</w:t>
            </w:r>
          </w:p>
        </w:tc>
        <w:tc>
          <w:tcPr>
            <w:tcW w:w="1417"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1h～4h内有生命危险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15（10）</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刺激眼膜</w:t>
            </w:r>
          </w:p>
        </w:tc>
        <w:tc>
          <w:tcPr>
            <w:tcW w:w="1362"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900（600）</w:t>
            </w:r>
          </w:p>
        </w:tc>
        <w:tc>
          <w:tcPr>
            <w:tcW w:w="1417"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暴露30min会引起致命性中毒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35～45（23.3～30）</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强烈刺激粘膜</w:t>
            </w:r>
          </w:p>
        </w:tc>
        <w:tc>
          <w:tcPr>
            <w:tcW w:w="1362"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1500（1000）</w:t>
            </w:r>
          </w:p>
        </w:tc>
        <w:tc>
          <w:tcPr>
            <w:tcW w:w="1417"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引起呼吸道麻痹，有生命危险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150～300（100～200）</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嗅觉在15min内麻痹</w:t>
            </w:r>
          </w:p>
        </w:tc>
        <w:tc>
          <w:tcPr>
            <w:tcW w:w="1362"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1500～2250（1000～1500）</w:t>
            </w:r>
          </w:p>
        </w:tc>
        <w:tc>
          <w:tcPr>
            <w:tcW w:w="1417"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在数分钟内死亡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175"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75～150（50～100）</w:t>
            </w:r>
          </w:p>
        </w:tc>
        <w:tc>
          <w:tcPr>
            <w:tcW w:w="1046" w:type="pct"/>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18"/>
                <w:szCs w:val="18"/>
              </w:rPr>
            </w:pPr>
            <w:r>
              <w:rPr>
                <w:rFonts w:hint="eastAsia"/>
                <w:color w:val="000000"/>
                <w:szCs w:val="21"/>
              </w:rPr>
              <w:t>刺激呼吸道</w:t>
            </w:r>
          </w:p>
        </w:tc>
        <w:tc>
          <w:tcPr>
            <w:tcW w:w="1362"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c>
          <w:tcPr>
            <w:tcW w:w="1417" w:type="pct"/>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color w:val="000000"/>
          <w:sz w:val="28"/>
          <w:szCs w:val="28"/>
        </w:rPr>
      </w:pPr>
      <w:r>
        <w:rPr>
          <w:rFonts w:hint="eastAsia"/>
          <w:color w:val="000000"/>
          <w:sz w:val="28"/>
          <w:szCs w:val="28"/>
        </w:rPr>
        <w:t>含有硫化氢的井发生井喷或放喷时，通常要点火。硫化氢燃烧后产生二氧化硫也属有毒气体。二氧化硫为无色、具有刺激性气味、比空气比重大的气体，具有窒息作用，人吸入后在鼻和喉粘膜上形成亚硫酸。吸入一定浓度的二氧化硫会引起人身伤害甚至死亡。不同浓度的二氧化硫对人体的危害见下表3</w:t>
      </w:r>
      <w:r>
        <w:rPr>
          <w:rFonts w:hint="eastAsia"/>
          <w:color w:val="000000"/>
          <w:sz w:val="28"/>
          <w:szCs w:val="28"/>
          <w:lang w:val="en-US" w:eastAsia="zh-CN"/>
        </w:rPr>
        <w:t>.4</w:t>
      </w:r>
      <w:r>
        <w:rPr>
          <w:rFonts w:hint="eastAsia"/>
          <w:color w:val="000000"/>
          <w:sz w:val="28"/>
          <w:szCs w:val="28"/>
        </w:rPr>
        <w:t>-</w:t>
      </w:r>
      <w:r>
        <w:rPr>
          <w:rFonts w:hint="eastAsia"/>
          <w:color w:val="000000"/>
          <w:sz w:val="28"/>
          <w:szCs w:val="28"/>
          <w:lang w:val="en-US" w:eastAsia="zh-CN"/>
        </w:rPr>
        <w:t>2</w:t>
      </w:r>
      <w:r>
        <w:rPr>
          <w:rFonts w:hint="eastAsia"/>
          <w:color w:val="000000"/>
          <w:sz w:val="28"/>
          <w:szCs w:val="28"/>
        </w:rPr>
        <w:t>。</w:t>
      </w:r>
    </w:p>
    <w:p>
      <w:pPr>
        <w:pStyle w:val="5"/>
        <w:adjustRightInd w:val="0"/>
        <w:snapToGrid w:val="0"/>
        <w:spacing w:line="360" w:lineRule="auto"/>
        <w:ind w:firstLine="480"/>
        <w:jc w:val="center"/>
        <w:rPr>
          <w:b/>
          <w:bCs/>
          <w:sz w:val="24"/>
          <w:szCs w:val="28"/>
        </w:rPr>
      </w:pPr>
      <w:r>
        <w:rPr>
          <w:rFonts w:hint="eastAsia"/>
          <w:b/>
          <w:bCs/>
          <w:sz w:val="24"/>
          <w:szCs w:val="28"/>
        </w:rPr>
        <w:t>表3</w:t>
      </w:r>
      <w:r>
        <w:rPr>
          <w:rFonts w:hint="eastAsia"/>
          <w:b/>
          <w:bCs/>
          <w:sz w:val="24"/>
          <w:szCs w:val="28"/>
          <w:lang w:val="en-US" w:eastAsia="zh-CN"/>
        </w:rPr>
        <w:t>.4</w:t>
      </w:r>
      <w:r>
        <w:rPr>
          <w:rFonts w:hint="eastAsia"/>
          <w:b/>
          <w:bCs/>
          <w:sz w:val="24"/>
          <w:szCs w:val="28"/>
        </w:rPr>
        <w:t>-</w:t>
      </w:r>
      <w:r>
        <w:rPr>
          <w:rFonts w:hint="eastAsia"/>
          <w:b/>
          <w:bCs/>
          <w:sz w:val="24"/>
          <w:szCs w:val="28"/>
          <w:lang w:val="en-US" w:eastAsia="zh-CN"/>
        </w:rPr>
        <w:t>2</w:t>
      </w:r>
      <w:r>
        <w:rPr>
          <w:rFonts w:hint="eastAsia"/>
          <w:b/>
          <w:bCs/>
          <w:sz w:val="24"/>
          <w:szCs w:val="28"/>
        </w:rPr>
        <w:t xml:space="preserve"> 二氧化硫对人体的危害</w:t>
      </w:r>
    </w:p>
    <w:tbl>
      <w:tblPr>
        <w:tblStyle w:val="5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94"/>
        <w:gridCol w:w="61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Cs w:val="21"/>
              </w:rPr>
            </w:pPr>
            <w:r>
              <w:rPr>
                <w:rFonts w:hint="eastAsia"/>
                <w:b/>
                <w:color w:val="000000"/>
                <w:szCs w:val="21"/>
              </w:rPr>
              <w:t>空气中浓度mg/m</w:t>
            </w:r>
            <w:r>
              <w:rPr>
                <w:rFonts w:hint="eastAsia"/>
                <w:b/>
                <w:color w:val="000000"/>
                <w:szCs w:val="21"/>
                <w:vertAlign w:val="superscript"/>
              </w:rPr>
              <w:t>3</w:t>
            </w:r>
            <w:r>
              <w:rPr>
                <w:rFonts w:hint="eastAsia"/>
                <w:b/>
                <w:color w:val="000000"/>
                <w:szCs w:val="21"/>
              </w:rPr>
              <w:t>（ppm）</w:t>
            </w:r>
          </w:p>
        </w:tc>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Cs w:val="21"/>
              </w:rPr>
            </w:pPr>
            <w:r>
              <w:rPr>
                <w:rFonts w:hint="eastAsia"/>
                <w:b/>
                <w:color w:val="000000"/>
                <w:szCs w:val="21"/>
              </w:rPr>
              <w:t>生理影响及危害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2.71（1）</w:t>
            </w:r>
          </w:p>
        </w:tc>
        <w:tc>
          <w:tcPr>
            <w:tcW w:w="0" w:type="auto"/>
            <w:vAlign w:val="center"/>
          </w:tcPr>
          <w:p>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具有刺激性气味，可能引起呼吸改变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5.42（2）</w:t>
            </w:r>
          </w:p>
        </w:tc>
        <w:tc>
          <w:tcPr>
            <w:tcW w:w="0" w:type="auto"/>
            <w:vAlign w:val="center"/>
          </w:tcPr>
          <w:p>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美国政府工业卫生专家联合会（ACGIH）推荐的阈限值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13.50（5）</w:t>
            </w:r>
          </w:p>
        </w:tc>
        <w:tc>
          <w:tcPr>
            <w:tcW w:w="0" w:type="auto"/>
            <w:vAlign w:val="center"/>
          </w:tcPr>
          <w:p>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灼伤眼睛，刺激呼吸，对嗓子有较小的刺激。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32.49（12）</w:t>
            </w:r>
          </w:p>
        </w:tc>
        <w:tc>
          <w:tcPr>
            <w:tcW w:w="0" w:type="auto"/>
            <w:vAlign w:val="center"/>
          </w:tcPr>
          <w:p>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刺激嗓子咳嗽，胸腔收缩，流眼泪和恶心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271（100）</w:t>
            </w:r>
          </w:p>
        </w:tc>
        <w:tc>
          <w:tcPr>
            <w:tcW w:w="0" w:type="auto"/>
            <w:vAlign w:val="center"/>
          </w:tcPr>
          <w:p>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立即对生命和健康产生危险的浓度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406.35（150）</w:t>
            </w:r>
          </w:p>
        </w:tc>
        <w:tc>
          <w:tcPr>
            <w:tcW w:w="0" w:type="auto"/>
            <w:vAlign w:val="center"/>
          </w:tcPr>
          <w:p>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产生强烈的刺激，只能忍受几分钟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1354.50（500）</w:t>
            </w:r>
          </w:p>
        </w:tc>
        <w:tc>
          <w:tcPr>
            <w:tcW w:w="0" w:type="auto"/>
            <w:vAlign w:val="center"/>
          </w:tcPr>
          <w:p>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即使吸入一口，就会产生窒息感，应立即救治，提供人工呼吸会心肺复苏技术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0" w:type="auto"/>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rPr>
            </w:pPr>
            <w:r>
              <w:rPr>
                <w:rFonts w:hint="eastAsia"/>
                <w:color w:val="000000"/>
                <w:szCs w:val="21"/>
              </w:rPr>
              <w:t>2708.99（1000）</w:t>
            </w:r>
          </w:p>
        </w:tc>
        <w:tc>
          <w:tcPr>
            <w:tcW w:w="0" w:type="auto"/>
            <w:vAlign w:val="center"/>
          </w:tcPr>
          <w:p>
            <w:pPr>
              <w:keepNext w:val="0"/>
              <w:keepLines w:val="0"/>
              <w:suppressLineNumbers w:val="0"/>
              <w:adjustRightInd w:val="0"/>
              <w:snapToGrid w:val="0"/>
              <w:spacing w:before="0" w:beforeAutospacing="0" w:after="0" w:afterAutospacing="0"/>
              <w:ind w:left="0" w:right="0"/>
              <w:jc w:val="left"/>
              <w:rPr>
                <w:rFonts w:hint="default"/>
                <w:color w:val="000000"/>
                <w:szCs w:val="21"/>
              </w:rPr>
            </w:pPr>
            <w:r>
              <w:rPr>
                <w:rFonts w:hint="eastAsia"/>
                <w:color w:val="000000"/>
                <w:szCs w:val="21"/>
              </w:rPr>
              <w:t>如不立即救治就会导致死亡，应马上进行人工呼吸或心肺复苏</w:t>
            </w:r>
          </w:p>
        </w:tc>
      </w:tr>
    </w:tbl>
    <w:p>
      <w:pPr>
        <w:keepNext/>
        <w:keepLines/>
        <w:adjustRightInd w:val="0"/>
        <w:snapToGrid w:val="0"/>
        <w:spacing w:before="156" w:beforeLines="50"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.4 物体打击</w:t>
      </w:r>
    </w:p>
    <w:p>
      <w:pPr>
        <w:adjustRightInd w:val="0"/>
        <w:snapToGrid w:val="0"/>
        <w:spacing w:line="360" w:lineRule="auto"/>
        <w:ind w:firstLine="560" w:firstLineChars="200"/>
        <w:rPr>
          <w:rFonts w:hint="eastAsia" w:eastAsia="宋体"/>
          <w:color w:val="000000"/>
          <w:sz w:val="28"/>
          <w:szCs w:val="28"/>
          <w:lang w:eastAsia="zh-CN"/>
        </w:rPr>
      </w:pPr>
      <w:r>
        <w:rPr>
          <w:rFonts w:hint="eastAsia"/>
          <w:color w:val="000000"/>
          <w:sz w:val="28"/>
          <w:szCs w:val="28"/>
        </w:rPr>
        <w:t>物体打击事故是井场作业施工过程中发生频率最高的事故，引起物体打击事故的原因有</w:t>
      </w:r>
      <w:r>
        <w:rPr>
          <w:rFonts w:hint="eastAsia"/>
          <w:color w:val="000000"/>
          <w:sz w:val="28"/>
          <w:szCs w:val="28"/>
          <w:lang w:eastAsia="zh-CN"/>
        </w:rPr>
        <w:t>：</w:t>
      </w:r>
    </w:p>
    <w:p>
      <w:pPr>
        <w:adjustRightInd w:val="0"/>
        <w:snapToGrid w:val="0"/>
        <w:spacing w:line="360" w:lineRule="auto"/>
        <w:ind w:firstLine="560" w:firstLineChars="200"/>
        <w:rPr>
          <w:rFonts w:hint="eastAsia"/>
          <w:color w:val="000000"/>
          <w:sz w:val="28"/>
          <w:szCs w:val="28"/>
        </w:rPr>
      </w:pPr>
      <w:r>
        <w:rPr>
          <w:rFonts w:hint="eastAsia"/>
          <w:color w:val="000000"/>
          <w:sz w:val="28"/>
          <w:szCs w:val="28"/>
        </w:rPr>
        <w:t>1.</w:t>
      </w:r>
      <w:r>
        <w:rPr>
          <w:rFonts w:hint="eastAsia"/>
          <w:sz w:val="28"/>
          <w:szCs w:val="28"/>
          <w:lang w:val="en-US" w:eastAsia="zh-CN"/>
        </w:rPr>
        <w:t>在投测多点过程中，人员操作不当，杆件滑落易造成物体打击；</w:t>
      </w:r>
    </w:p>
    <w:p>
      <w:pPr>
        <w:adjustRightInd w:val="0"/>
        <w:snapToGrid w:val="0"/>
        <w:spacing w:line="360" w:lineRule="auto"/>
        <w:ind w:firstLine="560" w:firstLineChars="200"/>
        <w:rPr>
          <w:color w:val="000000"/>
          <w:sz w:val="28"/>
          <w:szCs w:val="28"/>
        </w:rPr>
      </w:pPr>
      <w:r>
        <w:rPr>
          <w:rFonts w:hint="eastAsia"/>
          <w:color w:val="000000"/>
          <w:sz w:val="28"/>
          <w:szCs w:val="28"/>
          <w:lang w:val="en-US" w:eastAsia="zh-CN"/>
        </w:rPr>
        <w:t>2.</w:t>
      </w:r>
      <w:r>
        <w:rPr>
          <w:rFonts w:hint="eastAsia"/>
          <w:sz w:val="28"/>
          <w:szCs w:val="28"/>
          <w:lang w:val="en-US" w:eastAsia="zh-CN"/>
        </w:rPr>
        <w:t>定向施工人员在钻台摆工具面，泥浆掉块，螺丝松动掉落，可能造成物体打击</w:t>
      </w:r>
      <w:r>
        <w:rPr>
          <w:rFonts w:hint="eastAsia"/>
          <w:color w:val="000000"/>
          <w:sz w:val="28"/>
          <w:szCs w:val="28"/>
        </w:rPr>
        <w:t>；</w:t>
      </w:r>
    </w:p>
    <w:p>
      <w:pPr>
        <w:adjustRightInd w:val="0"/>
        <w:snapToGrid w:val="0"/>
        <w:spacing w:line="360" w:lineRule="auto"/>
        <w:ind w:firstLine="560" w:firstLineChars="200"/>
        <w:rPr>
          <w:color w:val="000000"/>
          <w:sz w:val="28"/>
          <w:szCs w:val="28"/>
        </w:rPr>
      </w:pPr>
      <w:r>
        <w:rPr>
          <w:rFonts w:hint="eastAsia"/>
          <w:color w:val="000000"/>
          <w:sz w:val="28"/>
          <w:szCs w:val="28"/>
        </w:rPr>
        <w:t>3.张紧的钢丝绳、绷绳等抽出伤人。</w:t>
      </w:r>
    </w:p>
    <w:p>
      <w:pPr>
        <w:adjustRightInd w:val="0"/>
        <w:snapToGrid w:val="0"/>
        <w:spacing w:line="360" w:lineRule="auto"/>
        <w:ind w:firstLine="560" w:firstLineChars="200"/>
        <w:rPr>
          <w:color w:val="000000"/>
          <w:sz w:val="28"/>
          <w:szCs w:val="28"/>
        </w:rPr>
      </w:pPr>
      <w:r>
        <w:rPr>
          <w:rFonts w:hint="eastAsia"/>
          <w:color w:val="000000"/>
          <w:sz w:val="28"/>
          <w:szCs w:val="28"/>
        </w:rPr>
        <w:t>4.带压操作可造成物体打击；</w:t>
      </w:r>
    </w:p>
    <w:p>
      <w:pPr>
        <w:adjustRightInd w:val="0"/>
        <w:snapToGrid w:val="0"/>
        <w:spacing w:line="360" w:lineRule="auto"/>
        <w:ind w:firstLine="560" w:firstLineChars="200"/>
        <w:rPr>
          <w:rFonts w:hint="eastAsia"/>
          <w:color w:val="000000"/>
          <w:sz w:val="28"/>
          <w:szCs w:val="28"/>
          <w:lang w:eastAsia="zh-CN"/>
        </w:rPr>
      </w:pPr>
      <w:r>
        <w:rPr>
          <w:rFonts w:hint="eastAsia"/>
          <w:color w:val="000000"/>
          <w:sz w:val="28"/>
          <w:szCs w:val="28"/>
        </w:rPr>
        <w:t>5.提升设备进行吊装作业时，造成落物伤人</w:t>
      </w:r>
      <w:r>
        <w:rPr>
          <w:rFonts w:hint="eastAsia"/>
          <w:color w:val="000000"/>
          <w:sz w:val="28"/>
          <w:szCs w:val="28"/>
          <w:lang w:eastAsia="zh-CN"/>
        </w:rPr>
        <w:t>；</w:t>
      </w:r>
    </w:p>
    <w:p>
      <w:pPr>
        <w:adjustRightInd w:val="0"/>
        <w:snapToGrid w:val="0"/>
        <w:spacing w:line="360" w:lineRule="auto"/>
        <w:ind w:firstLine="560" w:firstLineChars="200"/>
        <w:rPr>
          <w:rFonts w:hint="eastAsia"/>
          <w:sz w:val="28"/>
          <w:szCs w:val="28"/>
          <w:lang w:val="en-US" w:eastAsia="zh-CN"/>
        </w:rPr>
      </w:pPr>
      <w:r>
        <w:rPr>
          <w:rFonts w:hint="eastAsia"/>
          <w:color w:val="000000"/>
          <w:sz w:val="28"/>
          <w:szCs w:val="28"/>
          <w:lang w:val="en-US" w:eastAsia="zh-CN"/>
        </w:rPr>
        <w:t>6.</w:t>
      </w:r>
      <w:r>
        <w:rPr>
          <w:rFonts w:hint="eastAsia"/>
          <w:sz w:val="28"/>
          <w:szCs w:val="28"/>
          <w:lang w:val="en-US" w:eastAsia="zh-CN"/>
        </w:rPr>
        <w:t>野营房位置选择不合理，距离井架、跑道、机房等设施过近，可能造成物体打击；</w:t>
      </w:r>
    </w:p>
    <w:p>
      <w:pPr>
        <w:adjustRightInd w:val="0"/>
        <w:snapToGrid w:val="0"/>
        <w:spacing w:line="360" w:lineRule="auto"/>
        <w:ind w:firstLine="560" w:firstLineChars="200"/>
        <w:rPr>
          <w:color w:val="000000"/>
          <w:sz w:val="28"/>
          <w:szCs w:val="28"/>
        </w:rPr>
      </w:pPr>
      <w:r>
        <w:rPr>
          <w:rFonts w:hint="eastAsia"/>
          <w:sz w:val="28"/>
          <w:szCs w:val="28"/>
          <w:lang w:val="en-US" w:eastAsia="zh-CN"/>
        </w:rPr>
        <w:t>7.人员在量取动力钻具角差时，泥浆掉块，容易发生物体打击</w:t>
      </w:r>
      <w:r>
        <w:rPr>
          <w:rFonts w:hint="eastAsia"/>
          <w:color w:val="000000"/>
          <w:sz w:val="28"/>
          <w:szCs w:val="28"/>
        </w:rPr>
        <w:t>。</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.5 机械伤害</w:t>
      </w:r>
    </w:p>
    <w:p>
      <w:pPr>
        <w:adjustRightInd w:val="0"/>
        <w:snapToGrid w:val="0"/>
        <w:spacing w:line="360" w:lineRule="auto"/>
        <w:ind w:firstLine="560" w:firstLineChars="200"/>
        <w:rPr>
          <w:color w:val="000000"/>
          <w:sz w:val="28"/>
          <w:szCs w:val="28"/>
        </w:rPr>
      </w:pPr>
      <w:r>
        <w:rPr>
          <w:rFonts w:hint="eastAsia"/>
          <w:color w:val="000000"/>
          <w:sz w:val="28"/>
          <w:szCs w:val="28"/>
        </w:rPr>
        <w:t>机械外露的运动部分，在运行中可引起绞、辗等伤害，或因运动部件断脱、飞出而造成人身伤亡及</w:t>
      </w:r>
      <w:r>
        <w:rPr>
          <w:rFonts w:hint="eastAsia"/>
          <w:color w:val="000000"/>
          <w:sz w:val="28"/>
          <w:szCs w:val="28"/>
          <w:lang w:val="en-US" w:eastAsia="zh-CN"/>
        </w:rPr>
        <w:t>设备</w:t>
      </w:r>
      <w:r>
        <w:rPr>
          <w:rFonts w:hint="eastAsia"/>
          <w:color w:val="000000"/>
          <w:sz w:val="28"/>
          <w:szCs w:val="28"/>
        </w:rPr>
        <w:t>损坏事故</w:t>
      </w:r>
      <w:r>
        <w:rPr>
          <w:rFonts w:hint="eastAsia"/>
          <w:color w:val="000000"/>
          <w:sz w:val="28"/>
          <w:szCs w:val="28"/>
          <w:lang w:eastAsia="zh-CN"/>
        </w:rPr>
        <w:t>，</w:t>
      </w:r>
      <w:r>
        <w:rPr>
          <w:rFonts w:hint="eastAsia"/>
          <w:color w:val="000000"/>
          <w:sz w:val="28"/>
          <w:szCs w:val="28"/>
          <w:lang w:val="en-US" w:eastAsia="zh-CN"/>
        </w:rPr>
        <w:t>如</w:t>
      </w:r>
      <w:r>
        <w:rPr>
          <w:rFonts w:hint="eastAsia"/>
          <w:sz w:val="28"/>
          <w:szCs w:val="28"/>
          <w:lang w:val="en-US" w:eastAsia="zh-CN"/>
        </w:rPr>
        <w:t>定向施工人员检查动力钻具的使用情况，及丈量长度时，钻具未固定，来回滚动易发生机械伤害事故；</w:t>
      </w:r>
      <w:r>
        <w:rPr>
          <w:rFonts w:hint="eastAsia"/>
          <w:color w:val="000000"/>
          <w:sz w:val="28"/>
          <w:szCs w:val="28"/>
          <w:lang w:val="en-US" w:eastAsia="zh-CN"/>
        </w:rPr>
        <w:t>在定向仪器安装前钻井作业（钻井队）设备未停止或误操作导致钻井设备启动等，可能导致公司现场人员出现人身伤害等，主要为机械伤害</w:t>
      </w:r>
      <w:r>
        <w:rPr>
          <w:rFonts w:hint="eastAsia"/>
          <w:color w:val="000000"/>
          <w:sz w:val="28"/>
          <w:szCs w:val="28"/>
        </w:rPr>
        <w:t>。此外，手持工具如锤、钳等也容易造成碰、砸、割等伤害。</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.6 触电</w:t>
      </w:r>
    </w:p>
    <w:p>
      <w:pPr>
        <w:adjustRightInd w:val="0"/>
        <w:snapToGrid w:val="0"/>
        <w:spacing w:line="360" w:lineRule="auto"/>
        <w:ind w:firstLine="560" w:firstLineChars="200"/>
        <w:rPr>
          <w:color w:val="000000"/>
          <w:sz w:val="28"/>
          <w:szCs w:val="28"/>
        </w:rPr>
      </w:pPr>
      <w:r>
        <w:rPr>
          <w:rFonts w:hint="eastAsia"/>
          <w:color w:val="000000"/>
          <w:sz w:val="28"/>
          <w:szCs w:val="28"/>
          <w:lang w:val="en-US" w:eastAsia="zh-CN"/>
        </w:rPr>
        <w:t>作业人员所在作业现场的</w:t>
      </w:r>
      <w:r>
        <w:rPr>
          <w:rFonts w:hint="eastAsia"/>
          <w:color w:val="000000"/>
          <w:sz w:val="28"/>
          <w:szCs w:val="28"/>
        </w:rPr>
        <w:t>电气设备、电气线路是引发触电事故的危险源。若电气设备、线路的绝缘损坏或因腐蚀、老化引起绝缘性能降低，带电体外露，安全距离不足，未设可靠的接地保护或漏电保护装置，高压电窜入低压线路，非专业人员违章进行电气作业，电气作业人员违反电气作业安全规程等，人体直接或间接触及带电体，都会导致触电事故发生。</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.7 车辆伤害</w:t>
      </w:r>
    </w:p>
    <w:p>
      <w:pPr>
        <w:adjustRightInd w:val="0"/>
        <w:snapToGrid w:val="0"/>
        <w:spacing w:line="360" w:lineRule="auto"/>
        <w:ind w:firstLine="560" w:firstLineChars="200"/>
        <w:rPr>
          <w:color w:val="000000"/>
          <w:sz w:val="28"/>
          <w:szCs w:val="28"/>
        </w:rPr>
      </w:pPr>
      <w:r>
        <w:rPr>
          <w:rFonts w:hint="eastAsia"/>
          <w:color w:val="000000"/>
          <w:sz w:val="28"/>
          <w:szCs w:val="28"/>
        </w:rPr>
        <w:t>作业现场情况复杂，施工车辆在井场内移动（摆车）时，由于</w:t>
      </w:r>
      <w:r>
        <w:rPr>
          <w:rFonts w:hint="eastAsia"/>
          <w:color w:val="000000"/>
          <w:sz w:val="28"/>
          <w:szCs w:val="28"/>
          <w:lang w:val="en-US" w:eastAsia="zh-CN"/>
        </w:rPr>
        <w:t>车辆</w:t>
      </w:r>
      <w:r>
        <w:rPr>
          <w:rFonts w:hint="eastAsia"/>
          <w:color w:val="000000"/>
          <w:sz w:val="28"/>
          <w:szCs w:val="28"/>
        </w:rPr>
        <w:t>故障、视野不良、人员操作失误或违章等，可能造成</w:t>
      </w:r>
      <w:r>
        <w:rPr>
          <w:rFonts w:hint="eastAsia"/>
          <w:color w:val="000000"/>
          <w:sz w:val="28"/>
          <w:szCs w:val="28"/>
          <w:lang w:val="en-US" w:eastAsia="zh-CN"/>
        </w:rPr>
        <w:t>现场</w:t>
      </w:r>
      <w:r>
        <w:rPr>
          <w:rFonts w:hint="eastAsia"/>
          <w:color w:val="000000"/>
          <w:sz w:val="28"/>
          <w:szCs w:val="28"/>
        </w:rPr>
        <w:t>人员</w:t>
      </w:r>
      <w:r>
        <w:rPr>
          <w:rFonts w:hint="eastAsia"/>
          <w:color w:val="000000"/>
          <w:sz w:val="28"/>
          <w:szCs w:val="28"/>
          <w:lang w:val="en-US" w:eastAsia="zh-CN"/>
        </w:rPr>
        <w:t>的</w:t>
      </w:r>
      <w:r>
        <w:rPr>
          <w:rFonts w:hint="eastAsia"/>
          <w:color w:val="000000"/>
          <w:sz w:val="28"/>
          <w:szCs w:val="28"/>
        </w:rPr>
        <w:t>碰伤、碾压、撞击等车辆伤害事故。</w:t>
      </w:r>
    </w:p>
    <w:p>
      <w:pPr>
        <w:adjustRightInd w:val="0"/>
        <w:snapToGrid w:val="0"/>
        <w:spacing w:line="360" w:lineRule="auto"/>
        <w:ind w:firstLine="560" w:firstLineChars="200"/>
        <w:rPr>
          <w:rFonts w:hint="eastAsia"/>
          <w:color w:val="000000"/>
          <w:sz w:val="28"/>
          <w:szCs w:val="28"/>
        </w:rPr>
      </w:pPr>
      <w:r>
        <w:rPr>
          <w:rFonts w:hint="eastAsia"/>
          <w:color w:val="000000"/>
          <w:sz w:val="28"/>
          <w:szCs w:val="28"/>
        </w:rPr>
        <w:t>钻井作业流动性大，人员和设备的搬迁全部依靠运输车辆完成。石油企业的交通运输，往往车多路窄、各种特种车辆车体大而笨重，经常在路面状况不良的道路上行驶，受人员、车辆、路况、天气等原因容易发生各种交通事故。</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w:t>
      </w:r>
      <w:r>
        <w:rPr>
          <w:rFonts w:hint="eastAsia" w:eastAsia="黑体"/>
          <w:bCs/>
          <w:snapToGrid w:val="0"/>
          <w:kern w:val="0"/>
          <w:sz w:val="28"/>
          <w:szCs w:val="28"/>
          <w:lang w:val="en-US" w:eastAsia="zh-CN"/>
        </w:rPr>
        <w:t>8</w:t>
      </w:r>
      <w:r>
        <w:rPr>
          <w:rFonts w:hint="eastAsia" w:eastAsia="黑体"/>
          <w:bCs/>
          <w:snapToGrid w:val="0"/>
          <w:kern w:val="0"/>
          <w:sz w:val="28"/>
          <w:szCs w:val="28"/>
          <w:lang w:val="zh-CN"/>
        </w:rPr>
        <w:t xml:space="preserve"> </w:t>
      </w:r>
      <w:r>
        <w:rPr>
          <w:rFonts w:hint="eastAsia" w:eastAsia="黑体"/>
          <w:bCs/>
          <w:snapToGrid w:val="0"/>
          <w:kern w:val="0"/>
          <w:sz w:val="28"/>
          <w:szCs w:val="28"/>
          <w:lang w:val="en-US" w:eastAsia="zh-CN"/>
        </w:rPr>
        <w:t>起重</w:t>
      </w:r>
      <w:r>
        <w:rPr>
          <w:rFonts w:hint="eastAsia" w:eastAsia="黑体"/>
          <w:bCs/>
          <w:snapToGrid w:val="0"/>
          <w:kern w:val="0"/>
          <w:sz w:val="28"/>
          <w:szCs w:val="28"/>
          <w:lang w:val="zh-CN"/>
        </w:rPr>
        <w:t>伤害</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hint="eastAsia" w:ascii="Times New Roman" w:hAnsi="Times New Roman" w:cs="Times New Roman"/>
          <w:smallCaps w:val="0"/>
          <w:color w:val="000000"/>
          <w:sz w:val="28"/>
          <w:szCs w:val="28"/>
          <w:lang w:val="en-US" w:eastAsia="zh-CN"/>
        </w:rPr>
        <w:t>定向井仪器房</w:t>
      </w:r>
      <w:r>
        <w:rPr>
          <w:rFonts w:hint="eastAsia" w:cs="Times New Roman"/>
          <w:smallCaps w:val="0"/>
          <w:color w:val="000000"/>
          <w:sz w:val="28"/>
          <w:szCs w:val="28"/>
          <w:lang w:val="en-US" w:eastAsia="zh-CN"/>
        </w:rPr>
        <w:t>等</w:t>
      </w:r>
      <w:r>
        <w:rPr>
          <w:rFonts w:ascii="Times New Roman" w:hAnsi="Times New Roman" w:cs="Times New Roman"/>
          <w:smallCaps w:val="0"/>
          <w:color w:val="000000"/>
          <w:sz w:val="28"/>
          <w:szCs w:val="28"/>
        </w:rPr>
        <w:t>搬迁和安装过程中，使用到起重设备，若起重设备存在机械或电气系统发生故障、安全防护装置失效、违章操作、指挥不力等原因，有可能发生吊重或吊具打击、挤压人体、人员坠落等起重伤害事故。</w:t>
      </w:r>
    </w:p>
    <w:p>
      <w:pPr>
        <w:adjustRightInd w:val="0"/>
        <w:snapToGrid w:val="0"/>
        <w:spacing w:line="360" w:lineRule="auto"/>
        <w:ind w:firstLine="560" w:firstLineChars="200"/>
        <w:rPr>
          <w:rFonts w:hint="eastAsia" w:cs="Times New Roman"/>
          <w:smallCaps w:val="0"/>
          <w:color w:val="000000"/>
          <w:sz w:val="28"/>
          <w:szCs w:val="28"/>
          <w:lang w:eastAsia="zh-CN"/>
        </w:rPr>
      </w:pPr>
      <w:r>
        <w:rPr>
          <w:rFonts w:ascii="Times New Roman" w:hAnsi="Times New Roman" w:cs="Times New Roman"/>
          <w:smallCaps w:val="0"/>
          <w:color w:val="000000"/>
          <w:sz w:val="28"/>
          <w:szCs w:val="28"/>
        </w:rPr>
        <w:t>作业过程中，在物体吊装过程中可能因违章作业、吊物前未详细检查各类极限位置限制器、控制器、吊钩或其它防断绳装置的安全性能和钢丝绳的安全状况，或作业时吊物下有人等情况，易发生起重伤害事故</w:t>
      </w:r>
      <w:r>
        <w:rPr>
          <w:rFonts w:hint="eastAsia" w:cs="Times New Roman"/>
          <w:smallCaps w:val="0"/>
          <w:color w:val="000000"/>
          <w:sz w:val="28"/>
          <w:szCs w:val="28"/>
          <w:lang w:eastAsia="zh-CN"/>
        </w:rPr>
        <w:t>。</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w:t>
      </w:r>
      <w:r>
        <w:rPr>
          <w:rFonts w:hint="eastAsia" w:eastAsia="黑体"/>
          <w:bCs/>
          <w:snapToGrid w:val="0"/>
          <w:kern w:val="0"/>
          <w:sz w:val="28"/>
          <w:szCs w:val="28"/>
          <w:lang w:val="en-US" w:eastAsia="zh-CN"/>
        </w:rPr>
        <w:t>9</w:t>
      </w:r>
      <w:r>
        <w:rPr>
          <w:rFonts w:hint="eastAsia" w:eastAsia="黑体"/>
          <w:bCs/>
          <w:snapToGrid w:val="0"/>
          <w:kern w:val="0"/>
          <w:sz w:val="28"/>
          <w:szCs w:val="28"/>
          <w:lang w:val="zh-CN"/>
        </w:rPr>
        <w:t xml:space="preserve"> </w:t>
      </w:r>
      <w:r>
        <w:rPr>
          <w:rFonts w:hint="eastAsia" w:eastAsia="黑体"/>
          <w:bCs/>
          <w:snapToGrid w:val="0"/>
          <w:kern w:val="0"/>
          <w:sz w:val="28"/>
          <w:szCs w:val="28"/>
          <w:lang w:val="en-US" w:eastAsia="zh-CN"/>
        </w:rPr>
        <w:t>高处坠落</w:t>
      </w:r>
    </w:p>
    <w:p>
      <w:pPr>
        <w:adjustRightInd w:val="0"/>
        <w:snapToGrid w:val="0"/>
        <w:spacing w:line="360" w:lineRule="auto"/>
        <w:ind w:firstLine="560" w:firstLineChars="200"/>
        <w:rPr>
          <w:rFonts w:hint="eastAsia" w:eastAsia="宋体" w:cs="Times New Roman"/>
          <w:smallCaps w:val="0"/>
          <w:color w:val="000000"/>
          <w:sz w:val="28"/>
          <w:szCs w:val="28"/>
          <w:lang w:eastAsia="zh-CN"/>
        </w:rPr>
      </w:pPr>
      <w:r>
        <w:rPr>
          <w:rFonts w:ascii="Times New Roman" w:hAnsi="Times New Roman" w:cs="Times New Roman"/>
          <w:smallCaps w:val="0"/>
          <w:color w:val="000000"/>
          <w:sz w:val="28"/>
          <w:szCs w:val="28"/>
        </w:rPr>
        <w:t>作业人员在登高过程中有高处坠落的危险，特别是在大风天气作业时，极有可能发生高处坠落，造成人员伤亡；登高作业无安全防护措施（安全带、安全绳），梯子、平台和易滑倒的操作通道地面未设有防滑措施或在阴雨天气或冬季因结冰造成钢梯、扶手、检修平台路滑的条件下作业人员进行登高作业，也有滑倒摔伤或高处坠落的可能</w:t>
      </w:r>
      <w:r>
        <w:rPr>
          <w:rFonts w:hint="eastAsia" w:cs="Times New Roman"/>
          <w:smallCaps w:val="0"/>
          <w:color w:val="000000"/>
          <w:sz w:val="28"/>
          <w:szCs w:val="28"/>
          <w:lang w:eastAsia="zh-CN"/>
        </w:rPr>
        <w:t>。</w:t>
      </w:r>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w:t>
      </w:r>
      <w:r>
        <w:rPr>
          <w:rFonts w:hint="eastAsia" w:eastAsia="黑体"/>
          <w:bCs/>
          <w:snapToGrid w:val="0"/>
          <w:kern w:val="0"/>
          <w:sz w:val="28"/>
          <w:szCs w:val="28"/>
          <w:lang w:val="en-US" w:eastAsia="zh-CN"/>
        </w:rPr>
        <w:t>10</w:t>
      </w:r>
      <w:r>
        <w:rPr>
          <w:rFonts w:hint="eastAsia" w:eastAsia="黑体"/>
          <w:bCs/>
          <w:snapToGrid w:val="0"/>
          <w:kern w:val="0"/>
          <w:sz w:val="28"/>
          <w:szCs w:val="28"/>
          <w:lang w:val="zh-CN"/>
        </w:rPr>
        <w:t xml:space="preserve"> </w:t>
      </w:r>
      <w:r>
        <w:rPr>
          <w:rFonts w:hint="eastAsia" w:eastAsia="黑体"/>
          <w:bCs/>
          <w:snapToGrid w:val="0"/>
          <w:kern w:val="0"/>
          <w:sz w:val="28"/>
          <w:szCs w:val="28"/>
          <w:lang w:val="en-US" w:eastAsia="zh-CN"/>
        </w:rPr>
        <w:t>坍塌</w:t>
      </w:r>
    </w:p>
    <w:p>
      <w:pPr>
        <w:adjustRightInd w:val="0"/>
        <w:snapToGrid w:val="0"/>
        <w:spacing w:line="360" w:lineRule="auto"/>
        <w:ind w:firstLine="560" w:firstLineChars="200"/>
        <w:rPr>
          <w:rFonts w:hint="eastAsia" w:cs="Times New Roman"/>
          <w:smallCaps w:val="0"/>
          <w:color w:val="000000"/>
          <w:sz w:val="28"/>
          <w:szCs w:val="28"/>
          <w:lang w:eastAsia="zh-CN"/>
        </w:rPr>
      </w:pPr>
      <w:r>
        <w:rPr>
          <w:rFonts w:hint="eastAsia" w:ascii="Times New Roman" w:hAnsi="Times New Roman" w:eastAsia="宋体" w:cs="Times New Roman"/>
          <w:smallCaps w:val="0"/>
          <w:color w:val="000000"/>
          <w:sz w:val="28"/>
          <w:szCs w:val="28"/>
          <w:lang w:val="en-US" w:eastAsia="zh-CN"/>
        </w:rPr>
        <w:t>定向施工作业需要人员上站台，作业现场因井架质量低劣，安装质量差，可能发生井架坍塌事故</w:t>
      </w:r>
      <w:r>
        <w:rPr>
          <w:rFonts w:hint="eastAsia" w:eastAsia="宋体" w:cs="Times New Roman"/>
          <w:smallCaps w:val="0"/>
          <w:color w:val="000000"/>
          <w:sz w:val="28"/>
          <w:szCs w:val="28"/>
          <w:lang w:val="en-US" w:eastAsia="zh-CN"/>
        </w:rPr>
        <w:t>。</w:t>
      </w:r>
    </w:p>
    <w:p>
      <w:pPr>
        <w:keepNext/>
        <w:keepLines/>
        <w:adjustRightInd w:val="0"/>
        <w:snapToGrid w:val="0"/>
        <w:spacing w:line="360" w:lineRule="auto"/>
        <w:outlineLvl w:val="2"/>
        <w:rPr>
          <w:rFonts w:hint="default" w:eastAsia="黑体"/>
          <w:bCs/>
          <w:snapToGrid w:val="0"/>
          <w:kern w:val="0"/>
          <w:sz w:val="28"/>
          <w:szCs w:val="28"/>
          <w:lang w:val="en-US"/>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4</w:t>
      </w:r>
      <w:r>
        <w:rPr>
          <w:rFonts w:hint="eastAsia" w:eastAsia="黑体"/>
          <w:bCs/>
          <w:snapToGrid w:val="0"/>
          <w:kern w:val="0"/>
          <w:sz w:val="28"/>
          <w:szCs w:val="28"/>
          <w:lang w:val="zh-CN"/>
        </w:rPr>
        <w:t>.</w:t>
      </w:r>
      <w:r>
        <w:rPr>
          <w:rFonts w:hint="eastAsia" w:eastAsia="黑体"/>
          <w:bCs/>
          <w:snapToGrid w:val="0"/>
          <w:kern w:val="0"/>
          <w:sz w:val="28"/>
          <w:szCs w:val="28"/>
          <w:lang w:val="en-US" w:eastAsia="zh-CN"/>
        </w:rPr>
        <w:t>11</w:t>
      </w:r>
      <w:r>
        <w:rPr>
          <w:rFonts w:hint="eastAsia" w:eastAsia="黑体"/>
          <w:bCs/>
          <w:snapToGrid w:val="0"/>
          <w:kern w:val="0"/>
          <w:sz w:val="28"/>
          <w:szCs w:val="28"/>
          <w:lang w:val="zh-CN"/>
        </w:rPr>
        <w:t xml:space="preserve"> </w:t>
      </w:r>
      <w:r>
        <w:rPr>
          <w:rFonts w:hint="eastAsia" w:eastAsia="黑体"/>
          <w:bCs/>
          <w:snapToGrid w:val="0"/>
          <w:kern w:val="0"/>
          <w:sz w:val="28"/>
          <w:szCs w:val="28"/>
          <w:lang w:val="en-US" w:eastAsia="zh-CN"/>
        </w:rPr>
        <w:t>其他伤害</w:t>
      </w:r>
    </w:p>
    <w:p>
      <w:pPr>
        <w:pStyle w:val="22"/>
        <w:adjustRightInd w:val="0"/>
        <w:snapToGrid w:val="0"/>
        <w:spacing w:after="0" w:line="360" w:lineRule="auto"/>
        <w:ind w:firstLine="560" w:firstLineChars="200"/>
        <w:rPr>
          <w:rFonts w:hint="default" w:ascii="Times New Roman" w:hAnsi="Times New Roman" w:eastAsia="宋体" w:cs="Times New Roman"/>
          <w:smallCaps w:val="0"/>
          <w:color w:val="000000"/>
          <w:sz w:val="28"/>
          <w:szCs w:val="28"/>
          <w:lang w:val="en-US" w:eastAsia="zh-CN"/>
        </w:rPr>
      </w:pPr>
      <w:r>
        <w:rPr>
          <w:rFonts w:hint="eastAsia" w:ascii="Times New Roman" w:hAnsi="Times New Roman" w:cs="Times New Roman"/>
          <w:smallCaps w:val="0"/>
          <w:color w:val="000000"/>
          <w:sz w:val="28"/>
          <w:szCs w:val="28"/>
          <w:lang w:val="en-US" w:eastAsia="zh-CN"/>
        </w:rPr>
        <w:t>定向井</w:t>
      </w:r>
      <w:r>
        <w:rPr>
          <w:rFonts w:ascii="Times New Roman" w:hAnsi="Times New Roman" w:cs="Times New Roman"/>
          <w:smallCaps w:val="0"/>
          <w:color w:val="000000"/>
          <w:sz w:val="28"/>
          <w:szCs w:val="28"/>
        </w:rPr>
        <w:t>施工过程中，</w:t>
      </w:r>
      <w:r>
        <w:rPr>
          <w:rFonts w:hint="eastAsia" w:ascii="Times New Roman" w:hAnsi="Times New Roman" w:cs="Times New Roman"/>
          <w:smallCaps w:val="0"/>
          <w:color w:val="000000"/>
          <w:sz w:val="28"/>
          <w:szCs w:val="28"/>
          <w:lang w:val="en-US" w:eastAsia="zh-CN"/>
        </w:rPr>
        <w:t>根据随钻施工的特点，因此也会承受相关作业的风险，主要有以下类型的风险</w:t>
      </w:r>
      <w:r>
        <w:rPr>
          <w:rFonts w:hint="eastAsia" w:cs="Times New Roman"/>
          <w:smallCaps w:val="0"/>
          <w:color w:val="000000"/>
          <w:sz w:val="28"/>
          <w:szCs w:val="28"/>
          <w:lang w:val="en-US" w:eastAsia="zh-CN"/>
        </w:rPr>
        <w:t>：</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hint="eastAsia" w:ascii="Times New Roman" w:hAnsi="Times New Roman" w:cs="Times New Roman"/>
          <w:smallCaps w:val="0"/>
          <w:color w:val="000000"/>
          <w:sz w:val="28"/>
          <w:szCs w:val="28"/>
          <w:lang w:val="en-US" w:eastAsia="zh-CN"/>
        </w:rPr>
        <w:t>1</w:t>
      </w:r>
      <w:r>
        <w:rPr>
          <w:rFonts w:ascii="Times New Roman" w:hAnsi="Times New Roman" w:cs="Times New Roman"/>
          <w:smallCaps w:val="0"/>
          <w:color w:val="000000"/>
          <w:sz w:val="28"/>
          <w:szCs w:val="28"/>
        </w:rPr>
        <w:t>. 井漏</w:t>
      </w:r>
    </w:p>
    <w:p>
      <w:pPr>
        <w:pStyle w:val="22"/>
        <w:adjustRightInd w:val="0"/>
        <w:snapToGrid w:val="0"/>
        <w:spacing w:after="0" w:line="360" w:lineRule="auto"/>
        <w:ind w:firstLine="560" w:firstLineChars="200"/>
        <w:rPr>
          <w:rFonts w:hint="eastAsia" w:ascii="Times New Roman" w:hAnsi="Times New Roman" w:eastAsia="宋体" w:cs="Times New Roman"/>
          <w:smallCaps w:val="0"/>
          <w:color w:val="000000"/>
          <w:sz w:val="28"/>
          <w:szCs w:val="28"/>
          <w:lang w:eastAsia="zh-CN"/>
        </w:rPr>
      </w:pPr>
      <w:r>
        <w:rPr>
          <w:rFonts w:ascii="Times New Roman" w:hAnsi="Times New Roman" w:cs="Times New Roman"/>
          <w:smallCaps w:val="0"/>
          <w:color w:val="000000"/>
          <w:sz w:val="28"/>
          <w:szCs w:val="28"/>
        </w:rPr>
        <w:t>井漏是指在钻井、修井过程中，各种工作液（包括钻井液、修井液、水泥浆、完井液及其他流体等）在压差作用下漏入地层的现象。导致井漏的因素主要有</w:t>
      </w:r>
      <w:r>
        <w:rPr>
          <w:rFonts w:hint="eastAsia" w:cs="Times New Roman"/>
          <w:smallCaps w:val="0"/>
          <w:color w:val="000000"/>
          <w:sz w:val="28"/>
          <w:szCs w:val="28"/>
          <w:lang w:eastAsia="zh-CN"/>
        </w:rPr>
        <w:t>：</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1）井筒内的工作液的压力大于地层孔隙的压力。</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2）地层中存在着漏失通道和较大的足够容纳液体的空间。</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3）通道的开口尺寸大于外来工作液中固相的粒径。通道可以是裂缝，也可以是孔隙和溶洞。</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4）地层存在天然漏失通道，当井筒内钻井液作用于井壁的动压力大于地层的漏失压力时，发生漏失。</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5）由于钻井液的密度或粘切太高、环空不通畅造成环空压耗太大而压漏地层。</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hint="eastAsia" w:cs="Times New Roman"/>
          <w:smallCaps w:val="0"/>
          <w:color w:val="000000"/>
          <w:sz w:val="28"/>
          <w:szCs w:val="28"/>
          <w:lang w:val="en-US" w:eastAsia="zh-CN"/>
        </w:rPr>
        <w:t>2</w:t>
      </w:r>
      <w:r>
        <w:rPr>
          <w:rFonts w:ascii="Times New Roman" w:hAnsi="Times New Roman" w:cs="Times New Roman"/>
          <w:smallCaps w:val="0"/>
          <w:color w:val="000000"/>
          <w:sz w:val="28"/>
          <w:szCs w:val="28"/>
        </w:rPr>
        <w:t>. 相关作业的风险</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施工过程中，还存在诸多相关方的技术服务作业，因此也会承受相关作业产生的风险。如压裂、固井、试油、试气作业风险</w:t>
      </w:r>
      <w:r>
        <w:rPr>
          <w:rFonts w:hint="eastAsia" w:cs="Times New Roman"/>
          <w:smallCaps w:val="0"/>
          <w:color w:val="000000"/>
          <w:sz w:val="28"/>
          <w:szCs w:val="28"/>
          <w:lang w:eastAsia="zh-CN"/>
        </w:rPr>
        <w:t>：</w:t>
      </w:r>
      <w:r>
        <w:rPr>
          <w:rFonts w:ascii="Times New Roman" w:hAnsi="Times New Roman" w:cs="Times New Roman"/>
          <w:smallCaps w:val="0"/>
          <w:color w:val="000000"/>
          <w:sz w:val="28"/>
          <w:szCs w:val="28"/>
        </w:rPr>
        <w:t>管线爆裂、接头泄漏、井口采油（采气）树刺漏、压爆等。</w:t>
      </w:r>
    </w:p>
    <w:p>
      <w:pPr>
        <w:pStyle w:val="22"/>
        <w:adjustRightInd w:val="0"/>
        <w:snapToGrid w:val="0"/>
        <w:spacing w:after="0" w:line="360" w:lineRule="auto"/>
        <w:ind w:firstLine="560" w:firstLineChars="200"/>
        <w:rPr>
          <w:rFonts w:hint="default" w:ascii="Times New Roman" w:hAnsi="Times New Roman" w:eastAsia="宋体" w:cs="Times New Roman"/>
          <w:smallCaps w:val="0"/>
          <w:color w:val="000000"/>
          <w:sz w:val="28"/>
          <w:szCs w:val="28"/>
          <w:lang w:val="en-US" w:eastAsia="zh-CN"/>
        </w:rPr>
      </w:pPr>
      <w:r>
        <w:rPr>
          <w:rFonts w:ascii="Times New Roman" w:hAnsi="Times New Roman" w:cs="Times New Roman"/>
          <w:smallCaps w:val="0"/>
          <w:color w:val="000000"/>
          <w:sz w:val="28"/>
          <w:szCs w:val="28"/>
        </w:rPr>
        <w:t>除上述危险以外，高温井作业对人员产生高温烫伤伤害</w:t>
      </w:r>
      <w:r>
        <w:rPr>
          <w:rFonts w:hint="eastAsia" w:ascii="Times New Roman" w:hAnsi="Times New Roman" w:cs="Times New Roman"/>
          <w:smallCaps w:val="0"/>
          <w:color w:val="000000"/>
          <w:sz w:val="28"/>
          <w:szCs w:val="28"/>
          <w:lang w:eastAsia="zh-CN"/>
        </w:rPr>
        <w:t>；</w:t>
      </w:r>
      <w:r>
        <w:rPr>
          <w:rFonts w:hint="eastAsia" w:ascii="Times New Roman" w:hAnsi="Times New Roman" w:cs="Times New Roman"/>
          <w:smallCaps w:val="0"/>
          <w:color w:val="000000"/>
          <w:sz w:val="28"/>
          <w:szCs w:val="28"/>
          <w:lang w:val="en-US" w:eastAsia="zh-CN"/>
        </w:rPr>
        <w:t>高压、高含硫化氢井有可能导致井喷、硫化氢中毒、火灾爆炸等的风险。</w:t>
      </w:r>
    </w:p>
    <w:p>
      <w:pPr>
        <w:adjustRightInd w:val="0"/>
        <w:snapToGrid w:val="0"/>
        <w:spacing w:line="360" w:lineRule="auto"/>
        <w:ind w:firstLine="560" w:firstLineChars="200"/>
        <w:rPr>
          <w:rFonts w:ascii="Times New Roman" w:hAnsi="Times New Roman" w:cs="Times New Roman"/>
          <w:smallCaps w:val="0"/>
          <w:sz w:val="28"/>
          <w:szCs w:val="28"/>
        </w:rPr>
      </w:pPr>
      <w:r>
        <w:rPr>
          <w:rFonts w:ascii="Times New Roman" w:hAnsi="Times New Roman" w:cs="Times New Roman"/>
          <w:smallCaps w:val="0"/>
          <w:sz w:val="28"/>
          <w:szCs w:val="28"/>
        </w:rPr>
        <w:t>施工过程中临时性设施及物品放置或堆放不合理存在坍塌的危险。受生活条件、卫生条件的限制，有发生食物中毒、蚊虫叮咬的危险。</w:t>
      </w:r>
    </w:p>
    <w:p>
      <w:pPr>
        <w:pStyle w:val="4"/>
        <w:adjustRightInd w:val="0"/>
        <w:snapToGrid w:val="0"/>
        <w:spacing w:before="0" w:after="0" w:line="360" w:lineRule="auto"/>
        <w:rPr>
          <w:rFonts w:hint="default" w:ascii="Times New Roman" w:hAnsi="Times New Roman" w:eastAsia="黑体"/>
          <w:b w:val="0"/>
          <w:bCs/>
          <w:szCs w:val="32"/>
          <w:lang w:val="en-US" w:eastAsia="zh-CN"/>
        </w:rPr>
      </w:pPr>
      <w:bookmarkStart w:id="57" w:name="_Toc22742"/>
      <w:r>
        <w:rPr>
          <w:rFonts w:hint="eastAsia" w:ascii="Times New Roman" w:hAnsi="Times New Roman"/>
          <w:b w:val="0"/>
          <w:bCs/>
          <w:szCs w:val="32"/>
        </w:rPr>
        <w:t>3.</w:t>
      </w:r>
      <w:r>
        <w:rPr>
          <w:rFonts w:hint="eastAsia" w:ascii="Times New Roman" w:hAnsi="Times New Roman"/>
          <w:b w:val="0"/>
          <w:bCs/>
          <w:szCs w:val="32"/>
          <w:lang w:val="en-US" w:eastAsia="zh-CN"/>
        </w:rPr>
        <w:t>5</w:t>
      </w:r>
      <w:r>
        <w:rPr>
          <w:rFonts w:hint="eastAsia" w:ascii="Times New Roman" w:hAnsi="Times New Roman"/>
          <w:b w:val="0"/>
          <w:bCs/>
          <w:szCs w:val="32"/>
        </w:rPr>
        <w:t xml:space="preserve"> </w:t>
      </w:r>
      <w:r>
        <w:rPr>
          <w:rFonts w:hint="eastAsia" w:ascii="Times New Roman" w:hAnsi="Times New Roman"/>
          <w:b w:val="0"/>
          <w:bCs/>
          <w:szCs w:val="32"/>
          <w:lang w:val="en-US" w:eastAsia="zh-CN"/>
        </w:rPr>
        <w:t>主要有害因素辨识</w:t>
      </w:r>
      <w:bookmarkEnd w:id="57"/>
    </w:p>
    <w:p>
      <w:pPr>
        <w:keepNext/>
        <w:keepLines/>
        <w:adjustRightInd w:val="0"/>
        <w:snapToGrid w:val="0"/>
        <w:spacing w:line="360" w:lineRule="auto"/>
        <w:outlineLvl w:val="2"/>
        <w:rPr>
          <w:rFonts w:eastAsia="黑体"/>
          <w:bCs/>
          <w:snapToGrid w:val="0"/>
          <w:kern w:val="0"/>
          <w:sz w:val="28"/>
          <w:szCs w:val="28"/>
          <w:lang w:val="zh-CN"/>
        </w:rPr>
      </w:pPr>
      <w:r>
        <w:rPr>
          <w:rFonts w:hint="eastAsia" w:eastAsia="黑体"/>
          <w:bCs/>
          <w:snapToGrid w:val="0"/>
          <w:kern w:val="0"/>
          <w:sz w:val="28"/>
          <w:szCs w:val="28"/>
          <w:lang w:val="zh-CN"/>
        </w:rPr>
        <w:t>3.</w:t>
      </w:r>
      <w:r>
        <w:rPr>
          <w:rFonts w:hint="eastAsia" w:eastAsia="黑体"/>
          <w:bCs/>
          <w:snapToGrid w:val="0"/>
          <w:kern w:val="0"/>
          <w:sz w:val="28"/>
          <w:szCs w:val="28"/>
          <w:lang w:val="en-US" w:eastAsia="zh-CN"/>
        </w:rPr>
        <w:t>5</w:t>
      </w:r>
      <w:r>
        <w:rPr>
          <w:rFonts w:eastAsia="黑体"/>
          <w:bCs/>
          <w:snapToGrid w:val="0"/>
          <w:kern w:val="0"/>
          <w:sz w:val="28"/>
          <w:szCs w:val="28"/>
          <w:lang w:val="zh-CN"/>
        </w:rPr>
        <w:t>.</w:t>
      </w:r>
      <w:r>
        <w:rPr>
          <w:rFonts w:hint="eastAsia" w:eastAsia="黑体"/>
          <w:bCs/>
          <w:snapToGrid w:val="0"/>
          <w:kern w:val="0"/>
          <w:sz w:val="28"/>
          <w:szCs w:val="28"/>
          <w:lang w:val="en-US" w:eastAsia="zh-CN"/>
        </w:rPr>
        <w:t>1</w:t>
      </w:r>
      <w:r>
        <w:rPr>
          <w:rFonts w:hint="eastAsia" w:eastAsia="黑体"/>
          <w:bCs/>
          <w:snapToGrid w:val="0"/>
          <w:kern w:val="0"/>
          <w:sz w:val="28"/>
          <w:szCs w:val="28"/>
          <w:lang w:val="zh-CN"/>
        </w:rPr>
        <w:t xml:space="preserve"> 噪声危害</w:t>
      </w:r>
    </w:p>
    <w:p>
      <w:pPr>
        <w:adjustRightInd w:val="0"/>
        <w:snapToGrid w:val="0"/>
        <w:spacing w:line="360" w:lineRule="auto"/>
        <w:ind w:firstLine="560" w:firstLineChars="200"/>
        <w:rPr>
          <w:sz w:val="28"/>
          <w:szCs w:val="28"/>
        </w:rPr>
      </w:pPr>
      <w:r>
        <w:rPr>
          <w:rFonts w:hint="eastAsia"/>
          <w:sz w:val="28"/>
          <w:szCs w:val="28"/>
          <w:lang w:val="en-US" w:eastAsia="zh-CN"/>
        </w:rPr>
        <w:t>若野营房位置选择不合理，距离井架、跑道、机房等设施过近，可能造成噪声等职业危害，同时</w:t>
      </w:r>
      <w:r>
        <w:rPr>
          <w:rFonts w:ascii="Times New Roman" w:hAnsi="Times New Roman" w:cs="Times New Roman"/>
          <w:smallCaps w:val="0"/>
          <w:sz w:val="28"/>
          <w:szCs w:val="28"/>
        </w:rPr>
        <w:t>石油天然气工程施工过程中，各种机械运转设备如柴油发电机等运转工具、部件碰撞等发出的机械性噪声，介质输送、排放产生的空气动力性噪声，混杂在一起，可引起作业场所噪声值超标。</w:t>
      </w:r>
      <w:r>
        <w:rPr>
          <w:rFonts w:ascii="Times New Roman" w:hAnsi="Times New Roman" w:cs="Times New Roman"/>
          <w:bCs/>
          <w:smallCaps w:val="0"/>
          <w:sz w:val="28"/>
          <w:szCs w:val="28"/>
        </w:rPr>
        <w:t>人员长期在高噪声环境下工作，会引发</w:t>
      </w:r>
      <w:r>
        <w:rPr>
          <w:rFonts w:ascii="Times New Roman" w:hAnsi="Times New Roman" w:cs="Times New Roman"/>
          <w:smallCaps w:val="0"/>
          <w:sz w:val="28"/>
          <w:szCs w:val="28"/>
        </w:rPr>
        <w:t>噪声危害，其主要症状有听力损伤、职业性噪声聋、神经系统功能紊乱，甚至引起心血管疾病及消化系统疾病的高发</w:t>
      </w:r>
      <w:r>
        <w:rPr>
          <w:rFonts w:hint="eastAsia"/>
          <w:sz w:val="28"/>
          <w:szCs w:val="28"/>
        </w:rPr>
        <w:t>。</w:t>
      </w:r>
    </w:p>
    <w:p>
      <w:pPr>
        <w:keepNext/>
        <w:keepLines/>
        <w:adjustRightInd w:val="0"/>
        <w:snapToGrid w:val="0"/>
        <w:spacing w:line="360" w:lineRule="auto"/>
        <w:outlineLvl w:val="2"/>
        <w:rPr>
          <w:rFonts w:eastAsia="黑体"/>
          <w:bCs/>
          <w:snapToGrid w:val="0"/>
          <w:kern w:val="0"/>
          <w:sz w:val="28"/>
          <w:szCs w:val="28"/>
        </w:rPr>
      </w:pPr>
      <w:r>
        <w:rPr>
          <w:rFonts w:hint="eastAsia" w:eastAsia="黑体"/>
          <w:bCs/>
          <w:snapToGrid w:val="0"/>
          <w:kern w:val="0"/>
          <w:sz w:val="28"/>
          <w:szCs w:val="28"/>
        </w:rPr>
        <w:t>3.</w:t>
      </w:r>
      <w:r>
        <w:rPr>
          <w:rFonts w:hint="eastAsia" w:eastAsia="黑体"/>
          <w:bCs/>
          <w:snapToGrid w:val="0"/>
          <w:kern w:val="0"/>
          <w:sz w:val="28"/>
          <w:szCs w:val="28"/>
          <w:lang w:val="en-US" w:eastAsia="zh-CN"/>
        </w:rPr>
        <w:t>5</w:t>
      </w:r>
      <w:r>
        <w:rPr>
          <w:rFonts w:eastAsia="黑体"/>
          <w:bCs/>
          <w:snapToGrid w:val="0"/>
          <w:kern w:val="0"/>
          <w:sz w:val="28"/>
          <w:szCs w:val="28"/>
        </w:rPr>
        <w:t>.</w:t>
      </w:r>
      <w:r>
        <w:rPr>
          <w:rFonts w:hint="eastAsia" w:eastAsia="黑体"/>
          <w:bCs/>
          <w:snapToGrid w:val="0"/>
          <w:kern w:val="0"/>
          <w:sz w:val="28"/>
          <w:szCs w:val="28"/>
          <w:lang w:val="en-US" w:eastAsia="zh-CN"/>
        </w:rPr>
        <w:t>2</w:t>
      </w:r>
      <w:r>
        <w:rPr>
          <w:rFonts w:hint="eastAsia" w:eastAsia="黑体"/>
          <w:bCs/>
          <w:snapToGrid w:val="0"/>
          <w:kern w:val="0"/>
          <w:sz w:val="28"/>
          <w:szCs w:val="28"/>
        </w:rPr>
        <w:t xml:space="preserve"> 毒物危害</w:t>
      </w:r>
    </w:p>
    <w:p>
      <w:pPr>
        <w:adjustRightInd w:val="0"/>
        <w:snapToGrid w:val="0"/>
        <w:spacing w:line="360" w:lineRule="auto"/>
        <w:ind w:firstLine="560" w:firstLineChars="200"/>
        <w:rPr>
          <w:rFonts w:hint="eastAsia"/>
          <w:sz w:val="28"/>
          <w:szCs w:val="28"/>
        </w:rPr>
      </w:pPr>
      <w:r>
        <w:rPr>
          <w:rFonts w:hint="eastAsia"/>
          <w:sz w:val="28"/>
          <w:szCs w:val="28"/>
        </w:rPr>
        <w:t>石油天然气工程施工过程中可能接触到天然气、油蒸气、硫化氢、二氧化硫等有毒、有害物质。这些有毒、有害物质对呼吸道、肺组织有强烈的刺激、腐蚀作用，短时间内高浓度接触可引起急性中毒；长期低浓度接触会引起慢性毒物危害（慢性中毒）。主要</w:t>
      </w:r>
      <w:r>
        <w:rPr>
          <w:sz w:val="28"/>
          <w:szCs w:val="28"/>
        </w:rPr>
        <w:t>危害症状有头痛、恶心</w:t>
      </w:r>
      <w:r>
        <w:rPr>
          <w:rFonts w:hint="eastAsia"/>
          <w:sz w:val="28"/>
          <w:szCs w:val="28"/>
        </w:rPr>
        <w:t>，以及</w:t>
      </w:r>
      <w:r>
        <w:rPr>
          <w:sz w:val="28"/>
          <w:szCs w:val="28"/>
        </w:rPr>
        <w:t>呼吸道疾病</w:t>
      </w:r>
      <w:r>
        <w:rPr>
          <w:rFonts w:hint="eastAsia"/>
          <w:sz w:val="28"/>
          <w:szCs w:val="28"/>
        </w:rPr>
        <w:t>等。</w:t>
      </w:r>
    </w:p>
    <w:p>
      <w:pPr>
        <w:keepNext/>
        <w:keepLines/>
        <w:adjustRightInd w:val="0"/>
        <w:snapToGrid w:val="0"/>
        <w:spacing w:line="360" w:lineRule="auto"/>
        <w:outlineLvl w:val="2"/>
        <w:rPr>
          <w:rFonts w:eastAsia="黑体"/>
          <w:bCs/>
          <w:snapToGrid w:val="0"/>
          <w:kern w:val="0"/>
          <w:sz w:val="28"/>
          <w:szCs w:val="28"/>
        </w:rPr>
      </w:pPr>
      <w:r>
        <w:rPr>
          <w:rFonts w:hint="eastAsia" w:eastAsia="黑体"/>
          <w:bCs/>
          <w:snapToGrid w:val="0"/>
          <w:kern w:val="0"/>
          <w:sz w:val="28"/>
          <w:szCs w:val="28"/>
        </w:rPr>
        <w:t>3.</w:t>
      </w:r>
      <w:r>
        <w:rPr>
          <w:rFonts w:hint="eastAsia" w:eastAsia="黑体"/>
          <w:bCs/>
          <w:snapToGrid w:val="0"/>
          <w:kern w:val="0"/>
          <w:sz w:val="28"/>
          <w:szCs w:val="28"/>
          <w:lang w:val="en-US" w:eastAsia="zh-CN"/>
        </w:rPr>
        <w:t>5</w:t>
      </w:r>
      <w:r>
        <w:rPr>
          <w:rFonts w:eastAsia="黑体"/>
          <w:bCs/>
          <w:snapToGrid w:val="0"/>
          <w:kern w:val="0"/>
          <w:sz w:val="28"/>
          <w:szCs w:val="28"/>
        </w:rPr>
        <w:t>.</w:t>
      </w:r>
      <w:r>
        <w:rPr>
          <w:rFonts w:hint="eastAsia" w:eastAsia="黑体"/>
          <w:bCs/>
          <w:snapToGrid w:val="0"/>
          <w:kern w:val="0"/>
          <w:sz w:val="28"/>
          <w:szCs w:val="28"/>
          <w:lang w:val="en-US" w:eastAsia="zh-CN"/>
        </w:rPr>
        <w:t>3</w:t>
      </w:r>
      <w:r>
        <w:rPr>
          <w:rFonts w:hint="eastAsia" w:eastAsia="黑体"/>
          <w:bCs/>
          <w:snapToGrid w:val="0"/>
          <w:kern w:val="0"/>
          <w:sz w:val="28"/>
          <w:szCs w:val="28"/>
        </w:rPr>
        <w:t xml:space="preserve"> </w:t>
      </w:r>
      <w:r>
        <w:rPr>
          <w:rFonts w:hint="eastAsia" w:eastAsia="黑体"/>
          <w:bCs/>
          <w:snapToGrid w:val="0"/>
          <w:kern w:val="0"/>
          <w:sz w:val="28"/>
          <w:szCs w:val="28"/>
          <w:lang w:val="en-US" w:eastAsia="zh-CN"/>
        </w:rPr>
        <w:t>振动</w:t>
      </w:r>
      <w:r>
        <w:rPr>
          <w:rFonts w:hint="eastAsia" w:eastAsia="黑体"/>
          <w:bCs/>
          <w:snapToGrid w:val="0"/>
          <w:kern w:val="0"/>
          <w:sz w:val="28"/>
          <w:szCs w:val="28"/>
        </w:rPr>
        <w:t>危害</w:t>
      </w:r>
    </w:p>
    <w:p>
      <w:pPr>
        <w:adjustRightInd w:val="0"/>
        <w:snapToGrid w:val="0"/>
        <w:spacing w:line="360" w:lineRule="auto"/>
        <w:ind w:firstLine="560" w:firstLineChars="200"/>
        <w:rPr>
          <w:rFonts w:ascii="Times New Roman" w:hAnsi="Times New Roman" w:cs="Times New Roman"/>
          <w:smallCaps w:val="0"/>
          <w:sz w:val="28"/>
          <w:szCs w:val="28"/>
        </w:rPr>
      </w:pPr>
      <w:r>
        <w:rPr>
          <w:rFonts w:ascii="Times New Roman" w:hAnsi="Times New Roman" w:cs="Times New Roman"/>
          <w:smallCaps w:val="0"/>
          <w:sz w:val="28"/>
          <w:szCs w:val="28"/>
        </w:rPr>
        <w:t>机械设备运转时可产生振动，振动可引起机械效应、生理和心理的效应，长期接触会给人带来危害，我国已将振动病列为法定职业病。</w:t>
      </w:r>
    </w:p>
    <w:p>
      <w:pPr>
        <w:adjustRightInd w:val="0"/>
        <w:snapToGrid w:val="0"/>
        <w:spacing w:line="360" w:lineRule="auto"/>
        <w:ind w:firstLine="560" w:firstLineChars="200"/>
        <w:rPr>
          <w:rFonts w:hint="eastAsia" w:eastAsia="宋体"/>
          <w:sz w:val="28"/>
          <w:szCs w:val="28"/>
          <w:lang w:eastAsia="zh-CN"/>
        </w:rPr>
      </w:pPr>
      <w:r>
        <w:rPr>
          <w:rFonts w:ascii="Times New Roman" w:hAnsi="Times New Roman" w:cs="Times New Roman"/>
          <w:smallCaps w:val="0"/>
          <w:sz w:val="28"/>
          <w:szCs w:val="28"/>
        </w:rPr>
        <w:t>振动分为全身振动和局部振动。在钻台上可致全身振动，可能导致内脏器官的损伤或位移，周围神经和血管功能的改变，可造成各种类型的、组织的、生物化学的改变，导致组织营养不良，发生性机能下降、气体代谢增加，还可造成腰椎损伤等运动系统的影响。局部接触强烈振动主要是以手接触振动工具的方式为主的，长期持续使用振动工具能引起末梢循环、末神经和骨关节肌肉运动系统的障碍，严重时可患局部振动病</w:t>
      </w:r>
      <w:r>
        <w:rPr>
          <w:rFonts w:hint="eastAsia" w:cs="Times New Roman"/>
          <w:smallCaps w:val="0"/>
          <w:sz w:val="28"/>
          <w:szCs w:val="28"/>
          <w:lang w:eastAsia="zh-CN"/>
        </w:rPr>
        <w:t>。</w:t>
      </w:r>
    </w:p>
    <w:p>
      <w:pPr>
        <w:pStyle w:val="4"/>
        <w:adjustRightInd w:val="0"/>
        <w:snapToGrid w:val="0"/>
        <w:spacing w:before="0" w:after="0" w:line="360" w:lineRule="auto"/>
        <w:rPr>
          <w:rFonts w:ascii="Times New Roman" w:hAnsi="Times New Roman"/>
          <w:b w:val="0"/>
          <w:bCs/>
          <w:szCs w:val="32"/>
        </w:rPr>
      </w:pPr>
      <w:bookmarkStart w:id="58" w:name="_Toc329433801"/>
      <w:bookmarkStart w:id="59" w:name="_Toc216105913"/>
      <w:bookmarkStart w:id="60" w:name="_Toc26534935"/>
      <w:bookmarkStart w:id="61" w:name="_Toc281310742"/>
      <w:bookmarkStart w:id="62" w:name="_Toc447782519"/>
      <w:bookmarkStart w:id="63" w:name="_Toc16549"/>
      <w:bookmarkStart w:id="64" w:name="_Toc281310744"/>
      <w:r>
        <w:rPr>
          <w:rFonts w:hint="eastAsia" w:ascii="Times New Roman" w:hAnsi="Times New Roman"/>
          <w:b w:val="0"/>
          <w:bCs/>
          <w:szCs w:val="32"/>
        </w:rPr>
        <w:t>3.</w:t>
      </w:r>
      <w:r>
        <w:rPr>
          <w:rFonts w:hint="eastAsia" w:ascii="Times New Roman" w:hAnsi="Times New Roman"/>
          <w:b w:val="0"/>
          <w:bCs/>
          <w:szCs w:val="32"/>
          <w:lang w:val="en-US" w:eastAsia="zh-CN"/>
        </w:rPr>
        <w:t>6</w:t>
      </w:r>
      <w:r>
        <w:rPr>
          <w:rFonts w:hint="eastAsia" w:ascii="Times New Roman" w:hAnsi="Times New Roman"/>
          <w:b w:val="0"/>
          <w:bCs/>
          <w:szCs w:val="32"/>
        </w:rPr>
        <w:t xml:space="preserve"> 自然灾害的影响</w:t>
      </w:r>
      <w:bookmarkEnd w:id="58"/>
      <w:bookmarkEnd w:id="59"/>
      <w:bookmarkEnd w:id="60"/>
      <w:bookmarkEnd w:id="61"/>
      <w:bookmarkEnd w:id="62"/>
      <w:bookmarkEnd w:id="63"/>
    </w:p>
    <w:p>
      <w:pPr>
        <w:adjustRightInd w:val="0"/>
        <w:snapToGrid w:val="0"/>
        <w:spacing w:line="360" w:lineRule="auto"/>
        <w:ind w:firstLine="560" w:firstLineChars="200"/>
        <w:rPr>
          <w:rFonts w:ascii="Times New Roman" w:hAnsi="Times New Roman" w:cs="Times New Roman"/>
          <w:smallCaps w:val="0"/>
          <w:sz w:val="28"/>
          <w:szCs w:val="28"/>
        </w:rPr>
      </w:pPr>
      <w:r>
        <w:rPr>
          <w:rFonts w:hint="eastAsia"/>
          <w:sz w:val="28"/>
          <w:szCs w:val="28"/>
        </w:rPr>
        <w:t>该企业作业地点主要位于新疆、</w:t>
      </w:r>
      <w:r>
        <w:rPr>
          <w:rFonts w:hint="eastAsia"/>
          <w:sz w:val="28"/>
          <w:szCs w:val="28"/>
          <w:lang w:val="en-US" w:eastAsia="zh-CN"/>
        </w:rPr>
        <w:t>青海</w:t>
      </w:r>
      <w:r>
        <w:rPr>
          <w:rFonts w:hint="eastAsia"/>
          <w:sz w:val="28"/>
          <w:szCs w:val="28"/>
        </w:rPr>
        <w:t>、东北、西南等地区，</w:t>
      </w:r>
      <w:r>
        <w:rPr>
          <w:rFonts w:ascii="Times New Roman" w:hAnsi="Times New Roman" w:cs="Times New Roman"/>
          <w:smallCaps w:val="0"/>
          <w:sz w:val="28"/>
          <w:szCs w:val="28"/>
        </w:rPr>
        <w:t>无论是平原、山区、沙漠，作业队伍长年处于野外作业环境中，易受到自然灾害如</w:t>
      </w:r>
      <w:r>
        <w:rPr>
          <w:rFonts w:hint="eastAsia" w:cs="Times New Roman"/>
          <w:smallCaps w:val="0"/>
          <w:sz w:val="28"/>
          <w:szCs w:val="28"/>
          <w:lang w:eastAsia="zh-CN"/>
        </w:rPr>
        <w:t>：</w:t>
      </w:r>
      <w:r>
        <w:rPr>
          <w:rFonts w:ascii="Times New Roman" w:hAnsi="Times New Roman" w:cs="Times New Roman"/>
          <w:smallCaps w:val="0"/>
          <w:sz w:val="28"/>
          <w:szCs w:val="28"/>
        </w:rPr>
        <w:t>雷电、大风、雨、汛、山洪、大雪、寒冷、高温酷暑等的侵袭，发生一些灾害性的事故。此外施工作业流动性大，长距离的流动可能造成人员水土不服、气候不适等。</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对本项目施工影响较大的自然灾害有</w:t>
      </w:r>
      <w:r>
        <w:rPr>
          <w:rFonts w:hint="eastAsia" w:cs="Times New Roman"/>
          <w:smallCaps w:val="0"/>
          <w:color w:val="000000"/>
          <w:sz w:val="28"/>
          <w:szCs w:val="28"/>
          <w:lang w:eastAsia="zh-CN"/>
        </w:rPr>
        <w:t>：</w:t>
      </w:r>
      <w:r>
        <w:rPr>
          <w:rFonts w:ascii="Times New Roman" w:hAnsi="Times New Roman" w:cs="Times New Roman"/>
          <w:smallCaps w:val="0"/>
          <w:color w:val="000000"/>
          <w:sz w:val="28"/>
          <w:szCs w:val="28"/>
        </w:rPr>
        <w:t>雷击、地震、洪涝灾害、大风和高温、低温</w:t>
      </w:r>
      <w:r>
        <w:rPr>
          <w:rFonts w:hint="eastAsia" w:cs="Times New Roman"/>
          <w:smallCaps w:val="0"/>
          <w:color w:val="000000"/>
          <w:sz w:val="28"/>
          <w:szCs w:val="28"/>
          <w:lang w:eastAsia="zh-CN"/>
        </w:rPr>
        <w:t>、</w:t>
      </w:r>
      <w:r>
        <w:rPr>
          <w:rFonts w:hint="eastAsia" w:cs="Times New Roman"/>
          <w:smallCaps w:val="0"/>
          <w:color w:val="000000"/>
          <w:sz w:val="28"/>
          <w:szCs w:val="28"/>
          <w:lang w:val="en-US" w:eastAsia="zh-CN"/>
        </w:rPr>
        <w:t>沙尘暴</w:t>
      </w:r>
      <w:r>
        <w:rPr>
          <w:rFonts w:ascii="Times New Roman" w:hAnsi="Times New Roman" w:cs="Times New Roman"/>
          <w:smallCaps w:val="0"/>
          <w:color w:val="000000"/>
          <w:sz w:val="28"/>
          <w:szCs w:val="28"/>
        </w:rPr>
        <w:t>等。</w:t>
      </w:r>
    </w:p>
    <w:p>
      <w:pPr>
        <w:pStyle w:val="6"/>
        <w:adjustRightInd w:val="0"/>
        <w:snapToGrid w:val="0"/>
        <w:spacing w:before="0" w:after="0" w:line="360" w:lineRule="auto"/>
        <w:rPr>
          <w:rFonts w:ascii="Times New Roman" w:hAnsi="Times New Roman" w:eastAsia="黑体" w:cs="Times New Roman"/>
          <w:b w:val="0"/>
          <w:smallCaps w:val="0"/>
          <w:snapToGrid w:val="0"/>
          <w:kern w:val="0"/>
          <w:sz w:val="28"/>
          <w:szCs w:val="28"/>
        </w:rPr>
      </w:pPr>
      <w:r>
        <w:rPr>
          <w:rFonts w:ascii="Times New Roman" w:hAnsi="Times New Roman" w:eastAsia="黑体" w:cs="Times New Roman"/>
          <w:b w:val="0"/>
          <w:smallCaps w:val="0"/>
          <w:snapToGrid w:val="0"/>
          <w:kern w:val="0"/>
          <w:sz w:val="28"/>
          <w:szCs w:val="28"/>
        </w:rPr>
        <w:t>3.</w:t>
      </w:r>
      <w:r>
        <w:rPr>
          <w:rFonts w:hint="eastAsia" w:eastAsia="黑体" w:cs="Times New Roman"/>
          <w:b w:val="0"/>
          <w:smallCaps w:val="0"/>
          <w:snapToGrid w:val="0"/>
          <w:kern w:val="0"/>
          <w:sz w:val="28"/>
          <w:szCs w:val="28"/>
          <w:lang w:val="en-US" w:eastAsia="zh-CN"/>
        </w:rPr>
        <w:t>6</w:t>
      </w:r>
      <w:r>
        <w:rPr>
          <w:rFonts w:ascii="Times New Roman" w:hAnsi="Times New Roman" w:eastAsia="黑体" w:cs="Times New Roman"/>
          <w:b w:val="0"/>
          <w:smallCaps w:val="0"/>
          <w:snapToGrid w:val="0"/>
          <w:kern w:val="0"/>
          <w:sz w:val="28"/>
          <w:szCs w:val="28"/>
        </w:rPr>
        <w:t>.1 雷击</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雷电是大自然中的静电放电现象，输变电线路和变配电装置等设施及设备遭到雷电袭击时，会产生极高的电压和极大的电流，在其波及的范围内，可能造成设备或设施的损坏，直接或间接地造成人员伤亡，引发火灾、爆炸事故的发生。</w:t>
      </w:r>
    </w:p>
    <w:p>
      <w:pPr>
        <w:pStyle w:val="6"/>
        <w:adjustRightInd w:val="0"/>
        <w:snapToGrid w:val="0"/>
        <w:spacing w:before="0" w:after="0" w:line="360" w:lineRule="auto"/>
        <w:rPr>
          <w:rFonts w:ascii="Times New Roman" w:hAnsi="Times New Roman" w:eastAsia="黑体" w:cs="Times New Roman"/>
          <w:b w:val="0"/>
          <w:smallCaps w:val="0"/>
          <w:snapToGrid w:val="0"/>
          <w:kern w:val="0"/>
          <w:sz w:val="28"/>
          <w:szCs w:val="28"/>
        </w:rPr>
      </w:pPr>
      <w:r>
        <w:rPr>
          <w:rFonts w:ascii="Times New Roman" w:hAnsi="Times New Roman" w:eastAsia="黑体" w:cs="Times New Roman"/>
          <w:b w:val="0"/>
          <w:smallCaps w:val="0"/>
          <w:snapToGrid w:val="0"/>
          <w:kern w:val="0"/>
          <w:sz w:val="28"/>
          <w:szCs w:val="28"/>
        </w:rPr>
        <w:t>3.</w:t>
      </w:r>
      <w:r>
        <w:rPr>
          <w:rFonts w:hint="eastAsia" w:eastAsia="黑体" w:cs="Times New Roman"/>
          <w:b w:val="0"/>
          <w:smallCaps w:val="0"/>
          <w:snapToGrid w:val="0"/>
          <w:kern w:val="0"/>
          <w:sz w:val="28"/>
          <w:szCs w:val="28"/>
          <w:lang w:val="en-US" w:eastAsia="zh-CN"/>
        </w:rPr>
        <w:t>6</w:t>
      </w:r>
      <w:r>
        <w:rPr>
          <w:rFonts w:ascii="Times New Roman" w:hAnsi="Times New Roman" w:eastAsia="黑体" w:cs="Times New Roman"/>
          <w:b w:val="0"/>
          <w:smallCaps w:val="0"/>
          <w:snapToGrid w:val="0"/>
          <w:kern w:val="0"/>
          <w:sz w:val="28"/>
          <w:szCs w:val="28"/>
        </w:rPr>
        <w:t>.2 地震</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地震是地球内部突然发生的一系列弹性波，具有突发性和难以预报的特点，地震产生的强烈振动除可直接导致建构筑物倒塌、电杆折断、容器管道破裂、火灾爆炸之外，还会伴随出现海啸、断层、地裂、山崩、滑坡及地面隆起和下沉现象。对石油工业生产来说，地震会造成钻机倾覆、油（气）井毁坏、管道及阀件断裂等震害，同时还往往伴随火灾、爆炸等严重的二次灾害的发生。</w:t>
      </w:r>
    </w:p>
    <w:p>
      <w:pPr>
        <w:pStyle w:val="6"/>
        <w:adjustRightInd w:val="0"/>
        <w:snapToGrid w:val="0"/>
        <w:spacing w:before="0" w:after="0" w:line="360" w:lineRule="auto"/>
        <w:rPr>
          <w:rFonts w:ascii="Times New Roman" w:hAnsi="Times New Roman" w:eastAsia="黑体" w:cs="Times New Roman"/>
          <w:b w:val="0"/>
          <w:smallCaps w:val="0"/>
          <w:snapToGrid w:val="0"/>
          <w:kern w:val="0"/>
          <w:sz w:val="28"/>
          <w:szCs w:val="28"/>
        </w:rPr>
      </w:pPr>
      <w:r>
        <w:rPr>
          <w:rFonts w:ascii="Times New Roman" w:hAnsi="Times New Roman" w:eastAsia="黑体" w:cs="Times New Roman"/>
          <w:b w:val="0"/>
          <w:smallCaps w:val="0"/>
          <w:snapToGrid w:val="0"/>
          <w:kern w:val="0"/>
          <w:sz w:val="28"/>
          <w:szCs w:val="28"/>
        </w:rPr>
        <w:t>3.</w:t>
      </w:r>
      <w:r>
        <w:rPr>
          <w:rFonts w:hint="eastAsia" w:eastAsia="黑体" w:cs="Times New Roman"/>
          <w:b w:val="0"/>
          <w:smallCaps w:val="0"/>
          <w:snapToGrid w:val="0"/>
          <w:kern w:val="0"/>
          <w:sz w:val="28"/>
          <w:szCs w:val="28"/>
          <w:lang w:val="en-US" w:eastAsia="zh-CN"/>
        </w:rPr>
        <w:t>6</w:t>
      </w:r>
      <w:r>
        <w:rPr>
          <w:rFonts w:ascii="Times New Roman" w:hAnsi="Times New Roman" w:eastAsia="黑体" w:cs="Times New Roman"/>
          <w:b w:val="0"/>
          <w:smallCaps w:val="0"/>
          <w:snapToGrid w:val="0"/>
          <w:kern w:val="0"/>
          <w:sz w:val="28"/>
          <w:szCs w:val="28"/>
        </w:rPr>
        <w:t>.3 洪涝灾害</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由山洪爆发、江河决堤、水库破裂或持续暴雨酿成的水灾，统称为洪涝灾害。其中前三种来势迅猛，山洪爆发时还会伴随着泥石流或滑坡等现象发生，所以造成的灾害更大。从季节上说，洪涝灾害主要发生于夏秋两季，而且与当地或江河上游连降暴雨分不开。从地理条件上说，山区易爆发山洪，江河下游会因河水上涨而导致决堤，水库附近可能受到堤坝破裂后酿成水灾的波及，而低洼地带则易受涝灾。</w:t>
      </w:r>
    </w:p>
    <w:p>
      <w:pPr>
        <w:pStyle w:val="6"/>
        <w:adjustRightInd w:val="0"/>
        <w:snapToGrid w:val="0"/>
        <w:spacing w:before="0" w:after="0" w:line="360" w:lineRule="auto"/>
        <w:rPr>
          <w:rFonts w:ascii="Times New Roman" w:hAnsi="Times New Roman" w:eastAsia="黑体" w:cs="Times New Roman"/>
          <w:b w:val="0"/>
          <w:smallCaps w:val="0"/>
          <w:snapToGrid w:val="0"/>
          <w:kern w:val="0"/>
          <w:sz w:val="28"/>
          <w:szCs w:val="28"/>
        </w:rPr>
      </w:pPr>
      <w:r>
        <w:rPr>
          <w:rFonts w:ascii="Times New Roman" w:hAnsi="Times New Roman" w:eastAsia="黑体" w:cs="Times New Roman"/>
          <w:b w:val="0"/>
          <w:smallCaps w:val="0"/>
          <w:snapToGrid w:val="0"/>
          <w:kern w:val="0"/>
          <w:sz w:val="28"/>
          <w:szCs w:val="28"/>
        </w:rPr>
        <w:t>3.</w:t>
      </w:r>
      <w:r>
        <w:rPr>
          <w:rFonts w:hint="eastAsia" w:eastAsia="黑体" w:cs="Times New Roman"/>
          <w:b w:val="0"/>
          <w:smallCaps w:val="0"/>
          <w:snapToGrid w:val="0"/>
          <w:kern w:val="0"/>
          <w:sz w:val="28"/>
          <w:szCs w:val="28"/>
          <w:lang w:val="en-US" w:eastAsia="zh-CN"/>
        </w:rPr>
        <w:t>6</w:t>
      </w:r>
      <w:r>
        <w:rPr>
          <w:rFonts w:ascii="Times New Roman" w:hAnsi="Times New Roman" w:eastAsia="黑体" w:cs="Times New Roman"/>
          <w:b w:val="0"/>
          <w:smallCaps w:val="0"/>
          <w:snapToGrid w:val="0"/>
          <w:kern w:val="0"/>
          <w:sz w:val="28"/>
          <w:szCs w:val="28"/>
        </w:rPr>
        <w:t>.4 大风</w:t>
      </w:r>
    </w:p>
    <w:p>
      <w:pPr>
        <w:pStyle w:val="22"/>
        <w:adjustRightInd w:val="0"/>
        <w:snapToGrid w:val="0"/>
        <w:spacing w:after="0" w:line="360" w:lineRule="auto"/>
        <w:ind w:firstLine="560" w:firstLineChars="200"/>
        <w:rPr>
          <w:rFonts w:ascii="Times New Roman" w:hAnsi="Times New Roman" w:cs="Times New Roman"/>
          <w:smallCaps w:val="0"/>
          <w:color w:val="000000"/>
          <w:sz w:val="28"/>
          <w:szCs w:val="28"/>
        </w:rPr>
      </w:pPr>
      <w:r>
        <w:rPr>
          <w:rFonts w:ascii="Times New Roman" w:hAnsi="Times New Roman" w:cs="Times New Roman"/>
          <w:smallCaps w:val="0"/>
          <w:color w:val="000000"/>
          <w:sz w:val="28"/>
          <w:szCs w:val="28"/>
        </w:rPr>
        <w:t>大风会吹折或吹倒树木、电杆、井架等细高直立的物体，它们在倒落过程中则可能发生砸伤人、砸毁房屋及设备、刮断电线、引发火灾等二次事故。更大的风力还可能直接摧毁建筑物及大型设备。对</w:t>
      </w:r>
      <w:r>
        <w:rPr>
          <w:rFonts w:hint="eastAsia" w:ascii="Times New Roman" w:hAnsi="Times New Roman" w:cs="Times New Roman"/>
          <w:smallCaps w:val="0"/>
          <w:color w:val="000000"/>
          <w:sz w:val="28"/>
          <w:szCs w:val="28"/>
          <w:lang w:val="en-US" w:eastAsia="zh-CN"/>
        </w:rPr>
        <w:t>定向井</w:t>
      </w:r>
      <w:r>
        <w:rPr>
          <w:rFonts w:ascii="Times New Roman" w:hAnsi="Times New Roman" w:cs="Times New Roman"/>
          <w:smallCaps w:val="0"/>
          <w:color w:val="000000"/>
          <w:sz w:val="28"/>
          <w:szCs w:val="28"/>
        </w:rPr>
        <w:t>施工来说，易遭大风损坏的设备是</w:t>
      </w:r>
      <w:r>
        <w:rPr>
          <w:rFonts w:hint="eastAsia" w:ascii="Times New Roman" w:hAnsi="Times New Roman" w:cs="Times New Roman"/>
          <w:smallCaps w:val="0"/>
          <w:color w:val="000000"/>
          <w:sz w:val="28"/>
          <w:szCs w:val="28"/>
          <w:lang w:val="en-US" w:eastAsia="zh-CN"/>
        </w:rPr>
        <w:t>施工现场井架及起重搬运机械</w:t>
      </w:r>
      <w:r>
        <w:rPr>
          <w:rFonts w:ascii="Times New Roman" w:hAnsi="Times New Roman" w:cs="Times New Roman"/>
          <w:smallCaps w:val="0"/>
          <w:color w:val="000000"/>
          <w:sz w:val="28"/>
          <w:szCs w:val="28"/>
        </w:rPr>
        <w:t>，易受大风影响的作业是高处作业，尤其是特高处作业，因此，六级大风时应停止高处作业。</w:t>
      </w:r>
    </w:p>
    <w:p>
      <w:pPr>
        <w:pStyle w:val="6"/>
        <w:adjustRightInd w:val="0"/>
        <w:snapToGrid w:val="0"/>
        <w:spacing w:before="0" w:after="0" w:line="360" w:lineRule="auto"/>
        <w:rPr>
          <w:rFonts w:ascii="Times New Roman" w:hAnsi="Times New Roman" w:eastAsia="黑体" w:cs="Times New Roman"/>
          <w:b w:val="0"/>
          <w:smallCaps w:val="0"/>
          <w:snapToGrid w:val="0"/>
          <w:kern w:val="0"/>
          <w:sz w:val="28"/>
          <w:szCs w:val="28"/>
        </w:rPr>
      </w:pPr>
      <w:r>
        <w:rPr>
          <w:rFonts w:ascii="Times New Roman" w:hAnsi="Times New Roman" w:eastAsia="黑体" w:cs="Times New Roman"/>
          <w:b w:val="0"/>
          <w:smallCaps w:val="0"/>
          <w:snapToGrid w:val="0"/>
          <w:kern w:val="0"/>
          <w:sz w:val="28"/>
          <w:szCs w:val="28"/>
        </w:rPr>
        <w:t>3.</w:t>
      </w:r>
      <w:r>
        <w:rPr>
          <w:rFonts w:hint="eastAsia" w:eastAsia="黑体" w:cs="Times New Roman"/>
          <w:b w:val="0"/>
          <w:smallCaps w:val="0"/>
          <w:snapToGrid w:val="0"/>
          <w:kern w:val="0"/>
          <w:sz w:val="28"/>
          <w:szCs w:val="28"/>
          <w:lang w:val="en-US" w:eastAsia="zh-CN"/>
        </w:rPr>
        <w:t>6</w:t>
      </w:r>
      <w:r>
        <w:rPr>
          <w:rFonts w:ascii="Times New Roman" w:hAnsi="Times New Roman" w:eastAsia="黑体" w:cs="Times New Roman"/>
          <w:b w:val="0"/>
          <w:smallCaps w:val="0"/>
          <w:snapToGrid w:val="0"/>
          <w:kern w:val="0"/>
          <w:sz w:val="28"/>
          <w:szCs w:val="28"/>
        </w:rPr>
        <w:t>.5 高温、低温</w:t>
      </w:r>
    </w:p>
    <w:p>
      <w:pPr>
        <w:pStyle w:val="22"/>
        <w:adjustRightInd w:val="0"/>
        <w:snapToGrid w:val="0"/>
        <w:spacing w:after="0" w:line="360" w:lineRule="auto"/>
        <w:ind w:firstLine="560" w:firstLineChars="200"/>
        <w:rPr>
          <w:rFonts w:ascii="Times New Roman" w:hAnsi="Times New Roman" w:cs="Times New Roman"/>
          <w:smallCaps w:val="0"/>
          <w:sz w:val="28"/>
          <w:szCs w:val="28"/>
        </w:rPr>
      </w:pPr>
      <w:r>
        <w:rPr>
          <w:rFonts w:ascii="Times New Roman" w:hAnsi="Times New Roman" w:cs="Times New Roman"/>
          <w:smallCaps w:val="0"/>
          <w:sz w:val="28"/>
          <w:szCs w:val="28"/>
        </w:rPr>
        <w:t>温度的升高会引起爆炸性气体的爆炸浓度极限范围扩大，增加易燃、易爆介质的火灾、爆炸危险性。夏季高温环境下，野外作业的施工人员室外工作时间过长且无有效的防暑降温措施，可能引起人员的高温中暑。</w:t>
      </w:r>
    </w:p>
    <w:p>
      <w:pPr>
        <w:pStyle w:val="22"/>
        <w:adjustRightInd w:val="0"/>
        <w:snapToGrid w:val="0"/>
        <w:spacing w:after="0" w:line="360" w:lineRule="auto"/>
        <w:ind w:firstLine="560" w:firstLineChars="200"/>
        <w:rPr>
          <w:rFonts w:ascii="Times New Roman" w:hAnsi="Times New Roman" w:cs="Times New Roman"/>
          <w:smallCaps w:val="0"/>
          <w:sz w:val="28"/>
          <w:szCs w:val="28"/>
        </w:rPr>
      </w:pPr>
      <w:r>
        <w:rPr>
          <w:rFonts w:ascii="Times New Roman" w:hAnsi="Times New Roman" w:cs="Times New Roman"/>
          <w:smallCaps w:val="0"/>
          <w:sz w:val="28"/>
          <w:szCs w:val="28"/>
        </w:rPr>
        <w:t>在极端低温条件下，若无有效的防冻保温措施，人员在室外作业工作时间过长，可能引起人员冻伤。</w:t>
      </w:r>
    </w:p>
    <w:p>
      <w:pPr>
        <w:adjustRightInd w:val="0"/>
        <w:snapToGrid w:val="0"/>
        <w:spacing w:line="360" w:lineRule="auto"/>
        <w:ind w:firstLine="560" w:firstLineChars="200"/>
        <w:rPr>
          <w:rFonts w:hint="eastAsia"/>
          <w:sz w:val="28"/>
          <w:szCs w:val="28"/>
        </w:rPr>
      </w:pPr>
      <w:r>
        <w:rPr>
          <w:rFonts w:ascii="Times New Roman" w:hAnsi="Times New Roman" w:cs="Times New Roman"/>
          <w:smallCaps w:val="0"/>
          <w:sz w:val="28"/>
          <w:szCs w:val="28"/>
        </w:rPr>
        <w:t>无论是高温还是低温环境，都可影响人员的情绪、反应灵敏性，增加违章事故发生的频率，并可能成为引发其他事故的诱因</w:t>
      </w:r>
      <w:r>
        <w:rPr>
          <w:rFonts w:hint="eastAsia"/>
          <w:sz w:val="28"/>
          <w:szCs w:val="28"/>
        </w:rPr>
        <w:t>。</w:t>
      </w:r>
    </w:p>
    <w:p>
      <w:pPr>
        <w:pStyle w:val="6"/>
        <w:adjustRightInd w:val="0"/>
        <w:snapToGrid w:val="0"/>
        <w:spacing w:before="0" w:after="0" w:line="360" w:lineRule="auto"/>
        <w:rPr>
          <w:rFonts w:hint="eastAsia" w:ascii="Times New Roman" w:hAnsi="Times New Roman" w:eastAsia="黑体" w:cs="Times New Roman"/>
          <w:b w:val="0"/>
          <w:smallCaps w:val="0"/>
          <w:snapToGrid w:val="0"/>
          <w:kern w:val="0"/>
          <w:sz w:val="28"/>
          <w:szCs w:val="28"/>
          <w:lang w:eastAsia="zh-CN"/>
        </w:rPr>
      </w:pPr>
      <w:r>
        <w:rPr>
          <w:rFonts w:ascii="Times New Roman" w:hAnsi="Times New Roman" w:eastAsia="黑体" w:cs="Times New Roman"/>
          <w:b w:val="0"/>
          <w:smallCaps w:val="0"/>
          <w:snapToGrid w:val="0"/>
          <w:kern w:val="0"/>
          <w:sz w:val="28"/>
          <w:szCs w:val="28"/>
        </w:rPr>
        <w:t>3.</w:t>
      </w:r>
      <w:r>
        <w:rPr>
          <w:rFonts w:hint="eastAsia" w:eastAsia="黑体" w:cs="Times New Roman"/>
          <w:b w:val="0"/>
          <w:smallCaps w:val="0"/>
          <w:snapToGrid w:val="0"/>
          <w:kern w:val="0"/>
          <w:sz w:val="28"/>
          <w:szCs w:val="28"/>
          <w:lang w:val="en-US" w:eastAsia="zh-CN"/>
        </w:rPr>
        <w:t>6</w:t>
      </w:r>
      <w:r>
        <w:rPr>
          <w:rFonts w:ascii="Times New Roman" w:hAnsi="Times New Roman" w:eastAsia="黑体" w:cs="Times New Roman"/>
          <w:b w:val="0"/>
          <w:smallCaps w:val="0"/>
          <w:snapToGrid w:val="0"/>
          <w:kern w:val="0"/>
          <w:sz w:val="28"/>
          <w:szCs w:val="28"/>
        </w:rPr>
        <w:t>.</w:t>
      </w:r>
      <w:r>
        <w:rPr>
          <w:rFonts w:hint="eastAsia" w:eastAsia="黑体" w:cs="Times New Roman"/>
          <w:b w:val="0"/>
          <w:smallCaps w:val="0"/>
          <w:snapToGrid w:val="0"/>
          <w:kern w:val="0"/>
          <w:sz w:val="28"/>
          <w:szCs w:val="28"/>
          <w:lang w:val="en-US" w:eastAsia="zh-CN"/>
        </w:rPr>
        <w:t>6</w:t>
      </w:r>
      <w:r>
        <w:rPr>
          <w:rFonts w:ascii="Times New Roman" w:hAnsi="Times New Roman" w:eastAsia="黑体" w:cs="Times New Roman"/>
          <w:b w:val="0"/>
          <w:smallCaps w:val="0"/>
          <w:snapToGrid w:val="0"/>
          <w:kern w:val="0"/>
          <w:sz w:val="28"/>
          <w:szCs w:val="28"/>
        </w:rPr>
        <w:t xml:space="preserve"> </w:t>
      </w:r>
      <w:r>
        <w:rPr>
          <w:rFonts w:hint="eastAsia" w:eastAsia="黑体" w:cs="Times New Roman"/>
          <w:b w:val="0"/>
          <w:smallCaps w:val="0"/>
          <w:snapToGrid w:val="0"/>
          <w:kern w:val="0"/>
          <w:sz w:val="28"/>
          <w:szCs w:val="28"/>
          <w:lang w:val="en-US" w:eastAsia="zh-CN"/>
        </w:rPr>
        <w:t>沙尘暴</w:t>
      </w:r>
    </w:p>
    <w:p>
      <w:pPr>
        <w:adjustRightInd w:val="0"/>
        <w:snapToGrid w:val="0"/>
        <w:spacing w:line="360" w:lineRule="auto"/>
        <w:ind w:firstLine="560" w:firstLineChars="200"/>
        <w:rPr>
          <w:rFonts w:hint="default" w:eastAsia="宋体"/>
          <w:sz w:val="28"/>
          <w:szCs w:val="28"/>
          <w:lang w:val="en-US" w:eastAsia="zh-CN"/>
        </w:rPr>
      </w:pPr>
      <w:r>
        <w:rPr>
          <w:rFonts w:hint="eastAsia"/>
          <w:sz w:val="28"/>
          <w:szCs w:val="28"/>
          <w:lang w:val="en-US" w:eastAsia="zh-CN"/>
        </w:rPr>
        <w:t>新疆等作业场地多涉及沙漠地区，易发</w:t>
      </w:r>
      <w:r>
        <w:rPr>
          <w:rFonts w:hint="eastAsia" w:ascii="Times New Roman" w:hAnsi="Times New Roman" w:cs="Times New Roman"/>
          <w:smallCaps w:val="0"/>
          <w:sz w:val="28"/>
          <w:szCs w:val="28"/>
          <w:lang w:val="en-US" w:eastAsia="zh-CN"/>
        </w:rPr>
        <w:t>生沙尘暴。</w:t>
      </w:r>
      <w:r>
        <w:rPr>
          <w:rFonts w:hint="eastAsia" w:cs="Times New Roman"/>
          <w:smallCaps w:val="0"/>
          <w:sz w:val="28"/>
          <w:szCs w:val="28"/>
          <w:lang w:val="en-US" w:eastAsia="zh-CN"/>
        </w:rPr>
        <w:t>沙尘暴易发生如下危害：</w:t>
      </w:r>
      <w:r>
        <w:rPr>
          <w:rFonts w:hint="eastAsia" w:ascii="Times New Roman" w:hAnsi="Times New Roman" w:cs="Times New Roman"/>
          <w:smallCaps w:val="0"/>
          <w:sz w:val="28"/>
          <w:szCs w:val="28"/>
        </w:rPr>
        <w:t>1</w:t>
      </w:r>
      <w:r>
        <w:rPr>
          <w:rFonts w:hint="eastAsia" w:cs="Times New Roman"/>
          <w:smallCaps w:val="0"/>
          <w:sz w:val="28"/>
          <w:szCs w:val="28"/>
          <w:lang w:eastAsia="zh-CN"/>
        </w:rPr>
        <w:t>）</w:t>
      </w:r>
      <w:r>
        <w:rPr>
          <w:rFonts w:hint="eastAsia" w:ascii="Times New Roman" w:hAnsi="Times New Roman" w:cs="Times New Roman"/>
          <w:smallCaps w:val="0"/>
          <w:sz w:val="28"/>
          <w:szCs w:val="28"/>
        </w:rPr>
        <w:t>环境污染：出现沙尘暴天气时狂风裹的沙石、浮尘到处弥漫。2</w:t>
      </w:r>
      <w:r>
        <w:rPr>
          <w:rFonts w:hint="eastAsia" w:cs="Times New Roman"/>
          <w:smallCaps w:val="0"/>
          <w:sz w:val="28"/>
          <w:szCs w:val="28"/>
          <w:lang w:eastAsia="zh-CN"/>
        </w:rPr>
        <w:t>）</w:t>
      </w:r>
      <w:r>
        <w:rPr>
          <w:rFonts w:hint="eastAsia" w:ascii="Times New Roman" w:hAnsi="Times New Roman" w:cs="Times New Roman"/>
          <w:smallCaps w:val="0"/>
          <w:sz w:val="28"/>
          <w:szCs w:val="28"/>
        </w:rPr>
        <w:t>影响交通</w:t>
      </w:r>
      <w:r>
        <w:rPr>
          <w:rFonts w:hint="eastAsia" w:cs="Times New Roman"/>
          <w:smallCaps w:val="0"/>
          <w:sz w:val="28"/>
          <w:szCs w:val="28"/>
          <w:lang w:val="en-US" w:eastAsia="zh-CN"/>
        </w:rPr>
        <w:t>及作业</w:t>
      </w:r>
      <w:r>
        <w:rPr>
          <w:rFonts w:hint="eastAsia" w:ascii="Times New Roman" w:hAnsi="Times New Roman" w:cs="Times New Roman"/>
          <w:smallCaps w:val="0"/>
          <w:sz w:val="28"/>
          <w:szCs w:val="28"/>
        </w:rPr>
        <w:t>安全：沙尘暴天气经常影响交通</w:t>
      </w:r>
      <w:r>
        <w:rPr>
          <w:rFonts w:hint="eastAsia" w:cs="Times New Roman"/>
          <w:smallCaps w:val="0"/>
          <w:sz w:val="28"/>
          <w:szCs w:val="28"/>
          <w:lang w:val="en-US" w:eastAsia="zh-CN"/>
        </w:rPr>
        <w:t>以及现场作业</w:t>
      </w:r>
      <w:r>
        <w:rPr>
          <w:rFonts w:hint="eastAsia" w:ascii="Times New Roman" w:hAnsi="Times New Roman" w:cs="Times New Roman"/>
          <w:smallCaps w:val="0"/>
          <w:sz w:val="28"/>
          <w:szCs w:val="28"/>
        </w:rPr>
        <w:t>安全，造成</w:t>
      </w:r>
      <w:r>
        <w:rPr>
          <w:rFonts w:hint="eastAsia" w:cs="Times New Roman"/>
          <w:smallCaps w:val="0"/>
          <w:sz w:val="28"/>
          <w:szCs w:val="28"/>
          <w:lang w:val="en-US" w:eastAsia="zh-CN"/>
        </w:rPr>
        <w:t>运输车辆及现场作业不能正常开展</w:t>
      </w:r>
      <w:r>
        <w:rPr>
          <w:rFonts w:hint="eastAsia" w:ascii="Times New Roman" w:hAnsi="Times New Roman" w:cs="Times New Roman"/>
          <w:smallCaps w:val="0"/>
          <w:sz w:val="28"/>
          <w:szCs w:val="28"/>
        </w:rPr>
        <w:t>。3</w:t>
      </w:r>
      <w:r>
        <w:rPr>
          <w:rFonts w:hint="eastAsia" w:cs="Times New Roman"/>
          <w:smallCaps w:val="0"/>
          <w:sz w:val="28"/>
          <w:szCs w:val="28"/>
          <w:lang w:eastAsia="zh-CN"/>
        </w:rPr>
        <w:t>）</w:t>
      </w:r>
      <w:r>
        <w:rPr>
          <w:rFonts w:hint="eastAsia" w:ascii="Times New Roman" w:hAnsi="Times New Roman" w:cs="Times New Roman"/>
          <w:smallCaps w:val="0"/>
          <w:sz w:val="28"/>
          <w:szCs w:val="28"/>
        </w:rPr>
        <w:t>土壤风蚀：每次沙尘暴的沙尘源和影响区都会受到不同程度的风蚀危害，风蚀深度可达1～10厘米。4</w:t>
      </w:r>
      <w:r>
        <w:rPr>
          <w:rFonts w:hint="eastAsia" w:cs="Times New Roman"/>
          <w:smallCaps w:val="0"/>
          <w:sz w:val="28"/>
          <w:szCs w:val="28"/>
          <w:lang w:eastAsia="zh-CN"/>
        </w:rPr>
        <w:t>）</w:t>
      </w:r>
      <w:r>
        <w:rPr>
          <w:rFonts w:hint="eastAsia" w:ascii="Times New Roman" w:hAnsi="Times New Roman" w:cs="Times New Roman"/>
          <w:smallCaps w:val="0"/>
          <w:sz w:val="28"/>
          <w:szCs w:val="28"/>
        </w:rPr>
        <w:t>危害健康：当人暴露于沙尘天气中时，含有各种有毒化学物质、病菌等的尘土可透过层层防护进入到口、鼻、眼、耳中。</w:t>
      </w:r>
    </w:p>
    <w:p>
      <w:pPr>
        <w:pStyle w:val="4"/>
        <w:adjustRightInd w:val="0"/>
        <w:snapToGrid w:val="0"/>
        <w:spacing w:before="0" w:after="0" w:line="360" w:lineRule="auto"/>
        <w:rPr>
          <w:rFonts w:ascii="Times New Roman" w:hAnsi="Times New Roman"/>
          <w:b w:val="0"/>
          <w:bCs/>
          <w:szCs w:val="32"/>
        </w:rPr>
      </w:pPr>
      <w:bookmarkStart w:id="65" w:name="_Toc26534936"/>
      <w:bookmarkStart w:id="66" w:name="_Toc329433802"/>
      <w:bookmarkStart w:id="67" w:name="_Toc447782520"/>
      <w:bookmarkStart w:id="68" w:name="_Toc9648"/>
      <w:r>
        <w:rPr>
          <w:rFonts w:hint="eastAsia" w:ascii="Times New Roman" w:hAnsi="Times New Roman"/>
          <w:b w:val="0"/>
          <w:bCs/>
          <w:szCs w:val="32"/>
        </w:rPr>
        <w:t>3.</w:t>
      </w:r>
      <w:r>
        <w:rPr>
          <w:rFonts w:hint="eastAsia" w:ascii="Times New Roman" w:hAnsi="Times New Roman"/>
          <w:b w:val="0"/>
          <w:bCs/>
          <w:szCs w:val="32"/>
          <w:lang w:val="en-US" w:eastAsia="zh-CN"/>
        </w:rPr>
        <w:t>7</w:t>
      </w:r>
      <w:r>
        <w:rPr>
          <w:rFonts w:hint="eastAsia" w:ascii="Times New Roman" w:hAnsi="Times New Roman"/>
          <w:b w:val="0"/>
          <w:bCs/>
          <w:szCs w:val="32"/>
        </w:rPr>
        <w:t xml:space="preserve"> 重大危险源辨识</w:t>
      </w:r>
      <w:bookmarkEnd w:id="64"/>
      <w:bookmarkEnd w:id="65"/>
      <w:bookmarkEnd w:id="66"/>
      <w:bookmarkEnd w:id="67"/>
      <w:bookmarkEnd w:id="68"/>
    </w:p>
    <w:p>
      <w:pPr>
        <w:keepNext/>
        <w:keepLines/>
        <w:adjustRightInd w:val="0"/>
        <w:snapToGrid w:val="0"/>
        <w:spacing w:line="360" w:lineRule="auto"/>
        <w:outlineLvl w:val="2"/>
        <w:rPr>
          <w:rFonts w:eastAsia="黑体"/>
          <w:bCs/>
          <w:snapToGrid w:val="0"/>
          <w:kern w:val="0"/>
          <w:sz w:val="28"/>
          <w:szCs w:val="28"/>
        </w:rPr>
      </w:pPr>
      <w:r>
        <w:rPr>
          <w:rFonts w:hint="eastAsia" w:eastAsia="黑体"/>
          <w:bCs/>
          <w:snapToGrid w:val="0"/>
          <w:kern w:val="0"/>
          <w:sz w:val="28"/>
          <w:szCs w:val="28"/>
        </w:rPr>
        <w:t>3.</w:t>
      </w:r>
      <w:r>
        <w:rPr>
          <w:rFonts w:hint="eastAsia" w:eastAsia="黑体"/>
          <w:bCs/>
          <w:snapToGrid w:val="0"/>
          <w:kern w:val="0"/>
          <w:sz w:val="28"/>
          <w:szCs w:val="28"/>
          <w:lang w:val="en-US" w:eastAsia="zh-CN"/>
        </w:rPr>
        <w:t>7</w:t>
      </w:r>
      <w:r>
        <w:rPr>
          <w:rFonts w:hint="eastAsia" w:eastAsia="黑体"/>
          <w:bCs/>
          <w:snapToGrid w:val="0"/>
          <w:kern w:val="0"/>
          <w:sz w:val="28"/>
          <w:szCs w:val="28"/>
        </w:rPr>
        <w:t>.1 重大危险源辨识依据</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《危险化学品重大危险源辨识》</w:t>
      </w:r>
      <w:r>
        <w:rPr>
          <w:rFonts w:hint="eastAsia"/>
          <w:sz w:val="28"/>
          <w:szCs w:val="28"/>
          <w:lang w:eastAsia="zh-CN"/>
        </w:rPr>
        <w:t>（</w:t>
      </w:r>
      <w:r>
        <w:rPr>
          <w:rFonts w:hint="eastAsia"/>
          <w:sz w:val="28"/>
          <w:szCs w:val="28"/>
        </w:rPr>
        <w:t>GB18218-20</w:t>
      </w:r>
      <w:r>
        <w:rPr>
          <w:sz w:val="28"/>
          <w:szCs w:val="28"/>
        </w:rPr>
        <w:t>18</w:t>
      </w:r>
      <w:r>
        <w:rPr>
          <w:rFonts w:hint="eastAsia"/>
          <w:sz w:val="28"/>
          <w:szCs w:val="28"/>
          <w:lang w:eastAsia="zh-CN"/>
        </w:rPr>
        <w:t>）</w:t>
      </w:r>
    </w:p>
    <w:p>
      <w:pPr>
        <w:keepNext/>
        <w:keepLines/>
        <w:adjustRightInd w:val="0"/>
        <w:snapToGrid w:val="0"/>
        <w:spacing w:line="360" w:lineRule="auto"/>
        <w:outlineLvl w:val="2"/>
        <w:rPr>
          <w:rFonts w:eastAsia="黑体"/>
          <w:bCs/>
          <w:snapToGrid w:val="0"/>
          <w:kern w:val="0"/>
          <w:sz w:val="28"/>
          <w:szCs w:val="28"/>
        </w:rPr>
      </w:pPr>
      <w:r>
        <w:rPr>
          <w:rFonts w:hint="eastAsia" w:eastAsia="黑体"/>
          <w:bCs/>
          <w:snapToGrid w:val="0"/>
          <w:kern w:val="0"/>
          <w:sz w:val="28"/>
          <w:szCs w:val="28"/>
        </w:rPr>
        <w:t>3.</w:t>
      </w:r>
      <w:r>
        <w:rPr>
          <w:rFonts w:hint="eastAsia" w:eastAsia="黑体"/>
          <w:bCs/>
          <w:snapToGrid w:val="0"/>
          <w:kern w:val="0"/>
          <w:sz w:val="28"/>
          <w:szCs w:val="28"/>
          <w:lang w:val="en-US" w:eastAsia="zh-CN"/>
        </w:rPr>
        <w:t>7</w:t>
      </w:r>
      <w:r>
        <w:rPr>
          <w:rFonts w:hint="eastAsia" w:eastAsia="黑体"/>
          <w:bCs/>
          <w:snapToGrid w:val="0"/>
          <w:kern w:val="0"/>
          <w:sz w:val="28"/>
          <w:szCs w:val="28"/>
        </w:rPr>
        <w:t>.2 重大危险源辨识过程</w:t>
      </w:r>
    </w:p>
    <w:p>
      <w:pPr>
        <w:adjustRightInd w:val="0"/>
        <w:snapToGrid w:val="0"/>
        <w:spacing w:line="360" w:lineRule="auto"/>
        <w:ind w:firstLine="560" w:firstLineChars="200"/>
        <w:rPr>
          <w:sz w:val="24"/>
          <w:szCs w:val="28"/>
        </w:rPr>
      </w:pPr>
      <w:r>
        <w:rPr>
          <w:rFonts w:hint="eastAsia"/>
          <w:sz w:val="28"/>
          <w:szCs w:val="28"/>
        </w:rPr>
        <w:t>斯伦贝谢油田技术（山东）有限公司</w:t>
      </w:r>
      <w:r>
        <w:rPr>
          <w:rFonts w:hint="eastAsia"/>
          <w:sz w:val="28"/>
          <w:szCs w:val="28"/>
          <w:lang w:val="en-US" w:eastAsia="zh-CN"/>
        </w:rPr>
        <w:t>项目部人员</w:t>
      </w:r>
      <w:r>
        <w:rPr>
          <w:rFonts w:hint="eastAsia"/>
          <w:sz w:val="28"/>
          <w:szCs w:val="28"/>
        </w:rPr>
        <w:t>流动性很大，无固定的作业场所，</w:t>
      </w:r>
      <w:r>
        <w:rPr>
          <w:rFonts w:ascii="Times New Roman" w:hAnsi="Times New Roman" w:cs="Times New Roman"/>
          <w:smallCaps w:val="0"/>
          <w:sz w:val="28"/>
          <w:szCs w:val="28"/>
        </w:rPr>
        <w:t>从事的施工作业过程中</w:t>
      </w:r>
      <w:r>
        <w:rPr>
          <w:rFonts w:ascii="Times New Roman" w:hAnsi="Times New Roman" w:cs="Times New Roman"/>
          <w:smallCaps w:val="0"/>
          <w:color w:val="000000"/>
          <w:sz w:val="28"/>
          <w:szCs w:val="28"/>
        </w:rPr>
        <w:t>不涉及炸药、雷管等爆炸性物品的使用，不涉及危险化学品的</w:t>
      </w:r>
      <w:r>
        <w:rPr>
          <w:rFonts w:ascii="Times New Roman" w:hAnsi="Times New Roman" w:cs="Times New Roman"/>
          <w:smallCaps w:val="0"/>
          <w:sz w:val="28"/>
          <w:szCs w:val="28"/>
        </w:rPr>
        <w:t>生产、</w:t>
      </w:r>
      <w:r>
        <w:rPr>
          <w:rFonts w:ascii="Times New Roman" w:hAnsi="Times New Roman" w:cs="Times New Roman"/>
          <w:smallCaps w:val="0"/>
          <w:color w:val="000000"/>
          <w:sz w:val="28"/>
          <w:szCs w:val="28"/>
        </w:rPr>
        <w:t>使用和</w:t>
      </w:r>
      <w:r>
        <w:rPr>
          <w:rFonts w:ascii="Times New Roman" w:hAnsi="Times New Roman" w:cs="Times New Roman"/>
          <w:smallCaps w:val="0"/>
          <w:sz w:val="28"/>
          <w:szCs w:val="28"/>
        </w:rPr>
        <w:t>储存</w:t>
      </w:r>
      <w:r>
        <w:rPr>
          <w:rFonts w:hint="eastAsia"/>
          <w:sz w:val="28"/>
          <w:szCs w:val="28"/>
        </w:rPr>
        <w:t>。</w:t>
      </w:r>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eastAsia="黑体"/>
          <w:bCs/>
          <w:snapToGrid w:val="0"/>
          <w:kern w:val="0"/>
          <w:sz w:val="28"/>
          <w:szCs w:val="28"/>
        </w:rPr>
      </w:pPr>
      <w:r>
        <w:rPr>
          <w:rFonts w:hint="eastAsia" w:eastAsia="黑体"/>
          <w:bCs/>
          <w:snapToGrid w:val="0"/>
          <w:kern w:val="0"/>
          <w:sz w:val="28"/>
          <w:szCs w:val="28"/>
        </w:rPr>
        <w:t>3.</w:t>
      </w:r>
      <w:r>
        <w:rPr>
          <w:rFonts w:hint="eastAsia" w:eastAsia="黑体"/>
          <w:bCs/>
          <w:snapToGrid w:val="0"/>
          <w:kern w:val="0"/>
          <w:sz w:val="28"/>
          <w:szCs w:val="28"/>
          <w:lang w:val="en-US" w:eastAsia="zh-CN"/>
        </w:rPr>
        <w:t>7</w:t>
      </w:r>
      <w:r>
        <w:rPr>
          <w:rFonts w:hint="eastAsia" w:eastAsia="黑体"/>
          <w:bCs/>
          <w:snapToGrid w:val="0"/>
          <w:kern w:val="0"/>
          <w:sz w:val="28"/>
          <w:szCs w:val="28"/>
        </w:rPr>
        <w:t>.3 重大危险源辨识结果</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根据《危险化学品重大危险源辨识》（GB18218-20</w:t>
      </w:r>
      <w:r>
        <w:rPr>
          <w:sz w:val="28"/>
          <w:szCs w:val="28"/>
        </w:rPr>
        <w:t>18</w:t>
      </w:r>
      <w:r>
        <w:rPr>
          <w:rFonts w:hint="eastAsia"/>
          <w:sz w:val="28"/>
          <w:szCs w:val="28"/>
        </w:rPr>
        <w:t>）的有关规定，进行危险化学品重大危险源辨识可知</w:t>
      </w:r>
      <w:r>
        <w:rPr>
          <w:rFonts w:hint="eastAsia"/>
          <w:sz w:val="28"/>
          <w:szCs w:val="28"/>
          <w:lang w:eastAsia="zh-CN"/>
        </w:rPr>
        <w:t>：</w:t>
      </w:r>
    </w:p>
    <w:p>
      <w:pPr>
        <w:adjustRightInd w:val="0"/>
        <w:snapToGrid w:val="0"/>
        <w:spacing w:line="360" w:lineRule="auto"/>
        <w:ind w:firstLine="560" w:firstLineChars="200"/>
        <w:rPr>
          <w:rFonts w:hint="eastAsia"/>
          <w:sz w:val="28"/>
          <w:szCs w:val="28"/>
        </w:rPr>
      </w:pPr>
      <w:r>
        <w:rPr>
          <w:rFonts w:ascii="Times New Roman" w:hAnsi="Times New Roman" w:cs="Times New Roman"/>
          <w:smallCaps w:val="0"/>
          <w:sz w:val="28"/>
          <w:szCs w:val="28"/>
        </w:rPr>
        <w:t>该</w:t>
      </w:r>
      <w:r>
        <w:rPr>
          <w:rFonts w:hint="eastAsia" w:cs="Times New Roman"/>
          <w:smallCaps w:val="0"/>
          <w:sz w:val="28"/>
          <w:szCs w:val="28"/>
          <w:lang w:val="en-US" w:eastAsia="zh-CN"/>
        </w:rPr>
        <w:t>项目</w:t>
      </w:r>
      <w:r>
        <w:rPr>
          <w:rFonts w:ascii="Times New Roman" w:hAnsi="Times New Roman" w:cs="Times New Roman"/>
          <w:smallCaps w:val="0"/>
          <w:sz w:val="28"/>
          <w:szCs w:val="28"/>
        </w:rPr>
        <w:t>未构成危险化学品重大危险源</w:t>
      </w:r>
      <w:r>
        <w:rPr>
          <w:rFonts w:hint="eastAsia"/>
          <w:sz w:val="28"/>
          <w:szCs w:val="28"/>
        </w:rPr>
        <w:t>。</w:t>
      </w:r>
    </w:p>
    <w:p>
      <w:pPr>
        <w:pStyle w:val="4"/>
        <w:adjustRightInd w:val="0"/>
        <w:snapToGrid w:val="0"/>
        <w:spacing w:before="0" w:after="0" w:line="360" w:lineRule="auto"/>
        <w:rPr>
          <w:rFonts w:hint="default" w:ascii="Times New Roman" w:hAnsi="Times New Roman" w:eastAsia="黑体"/>
          <w:b w:val="0"/>
          <w:bCs/>
          <w:szCs w:val="32"/>
          <w:lang w:val="en-US" w:eastAsia="zh-CN"/>
        </w:rPr>
      </w:pPr>
      <w:bookmarkStart w:id="69" w:name="_Toc8984"/>
      <w:r>
        <w:rPr>
          <w:rFonts w:hint="eastAsia" w:ascii="Times New Roman" w:hAnsi="Times New Roman"/>
          <w:b w:val="0"/>
          <w:bCs/>
          <w:szCs w:val="32"/>
        </w:rPr>
        <w:t>3.</w:t>
      </w:r>
      <w:r>
        <w:rPr>
          <w:rFonts w:hint="eastAsia" w:ascii="Times New Roman" w:hAnsi="Times New Roman"/>
          <w:b w:val="0"/>
          <w:bCs/>
          <w:szCs w:val="32"/>
          <w:lang w:val="en-US" w:eastAsia="zh-CN"/>
        </w:rPr>
        <w:t>8</w:t>
      </w:r>
      <w:r>
        <w:rPr>
          <w:rFonts w:hint="eastAsia" w:ascii="Times New Roman" w:hAnsi="Times New Roman"/>
          <w:b w:val="0"/>
          <w:bCs/>
          <w:szCs w:val="32"/>
        </w:rPr>
        <w:t xml:space="preserve"> </w:t>
      </w:r>
      <w:r>
        <w:rPr>
          <w:rFonts w:hint="eastAsia" w:ascii="Times New Roman" w:hAnsi="Times New Roman"/>
          <w:b w:val="0"/>
          <w:bCs/>
          <w:szCs w:val="32"/>
          <w:lang w:val="en-US" w:eastAsia="zh-CN"/>
        </w:rPr>
        <w:t>事故案例分析</w:t>
      </w:r>
      <w:bookmarkEnd w:id="69"/>
    </w:p>
    <w:p>
      <w:pPr>
        <w:keepNext/>
        <w:keepLines/>
        <w:adjustRightInd w:val="0"/>
        <w:snapToGrid w:val="0"/>
        <w:spacing w:line="360" w:lineRule="auto"/>
        <w:outlineLvl w:val="2"/>
        <w:rPr>
          <w:rFonts w:hint="default" w:eastAsia="黑体"/>
          <w:bCs/>
          <w:snapToGrid w:val="0"/>
          <w:kern w:val="0"/>
          <w:sz w:val="28"/>
          <w:szCs w:val="28"/>
          <w:lang w:val="en-US" w:eastAsia="zh-CN"/>
        </w:rPr>
      </w:pPr>
      <w:r>
        <w:rPr>
          <w:rFonts w:hint="eastAsia" w:eastAsia="黑体"/>
          <w:bCs/>
          <w:snapToGrid w:val="0"/>
          <w:kern w:val="0"/>
          <w:sz w:val="28"/>
          <w:szCs w:val="28"/>
        </w:rPr>
        <w:t>3.</w:t>
      </w:r>
      <w:r>
        <w:rPr>
          <w:rFonts w:hint="eastAsia" w:eastAsia="黑体"/>
          <w:bCs/>
          <w:snapToGrid w:val="0"/>
          <w:kern w:val="0"/>
          <w:sz w:val="28"/>
          <w:szCs w:val="28"/>
          <w:lang w:val="en-US" w:eastAsia="zh-CN"/>
        </w:rPr>
        <w:t>8</w:t>
      </w:r>
      <w:r>
        <w:rPr>
          <w:rFonts w:hint="eastAsia" w:eastAsia="黑体"/>
          <w:bCs/>
          <w:snapToGrid w:val="0"/>
          <w:kern w:val="0"/>
          <w:sz w:val="28"/>
          <w:szCs w:val="28"/>
        </w:rPr>
        <w:t xml:space="preserve">.1 </w:t>
      </w:r>
      <w:r>
        <w:rPr>
          <w:rFonts w:hint="eastAsia" w:eastAsia="黑体"/>
          <w:bCs/>
          <w:snapToGrid w:val="0"/>
          <w:kern w:val="0"/>
          <w:sz w:val="28"/>
          <w:szCs w:val="28"/>
          <w:lang w:val="en-US" w:eastAsia="zh-CN"/>
        </w:rPr>
        <w:t>罗家16H井井喷事故案例</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1.基本情况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default" w:ascii="Times New Roman" w:hAnsi="Times New Roman" w:cs="Times New Roman"/>
          <w:sz w:val="28"/>
          <w:szCs w:val="28"/>
        </w:rPr>
      </w:pPr>
      <w:r>
        <w:rPr>
          <w:rFonts w:hint="eastAsia"/>
          <w:sz w:val="28"/>
          <w:szCs w:val="28"/>
        </w:rPr>
        <w:t>罗家16H井是四川油田川渝东部地区高陡构造上的第一口水平井。该井由川东钻探公司川钻12队承钻。2003年12月23日2</w:t>
      </w:r>
      <w:r>
        <w:rPr>
          <w:rFonts w:hint="eastAsia"/>
          <w:sz w:val="28"/>
          <w:szCs w:val="28"/>
          <w:lang w:eastAsia="zh-CN"/>
        </w:rPr>
        <w:t>：</w:t>
      </w:r>
      <w:r>
        <w:rPr>
          <w:rFonts w:hint="eastAsia"/>
          <w:sz w:val="28"/>
          <w:szCs w:val="28"/>
        </w:rPr>
        <w:t>29钻至井深4049.68m，层位为飞仙关，21</w:t>
      </w:r>
      <w:r>
        <w:rPr>
          <w:rFonts w:hint="eastAsia"/>
          <w:sz w:val="28"/>
          <w:szCs w:val="28"/>
          <w:lang w:eastAsia="zh-CN"/>
        </w:rPr>
        <w:t>：</w:t>
      </w:r>
      <w:r>
        <w:rPr>
          <w:rFonts w:hint="eastAsia"/>
          <w:sz w:val="28"/>
          <w:szCs w:val="28"/>
        </w:rPr>
        <w:t>55在起钻过程中发生强烈井喷，进而发生井喷失控，造成井场周边居民硫化氢中毒，导致重大人员伤亡，是一次特大井喷事故</w:t>
      </w:r>
      <w:r>
        <w:rPr>
          <w:rFonts w:hint="default" w:ascii="Times New Roman" w:hAnsi="Times New Roman" w:cs="Times New Roman"/>
          <w:sz w:val="28"/>
          <w:szCs w:val="28"/>
        </w:rPr>
        <w:t>。</w:t>
      </w:r>
    </w:p>
    <w:p>
      <w:pPr>
        <w:adjustRightInd w:val="0"/>
        <w:snapToGrid w:val="0"/>
        <w:spacing w:line="360" w:lineRule="auto"/>
        <w:ind w:firstLine="560" w:firstLineChars="200"/>
        <w:rPr>
          <w:rFonts w:hint="default" w:eastAsia="宋体"/>
          <w:sz w:val="28"/>
          <w:szCs w:val="28"/>
          <w:lang w:val="en-US" w:eastAsia="zh-CN"/>
        </w:rPr>
      </w:pPr>
      <w:r>
        <w:rPr>
          <w:rFonts w:hint="eastAsia"/>
          <w:sz w:val="28"/>
          <w:szCs w:val="28"/>
          <w:lang w:val="en-US" w:eastAsia="zh-CN"/>
        </w:rPr>
        <w:t>2.事故发生经过</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2003年12月23日2</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29用密度为1.43g/cm</w:t>
      </w:r>
      <w:r>
        <w:rPr>
          <w:rFonts w:hint="eastAsia" w:ascii="Times New Roman" w:hAnsi="Times New Roman" w:eastAsia="宋体" w:cs="Times New Roman"/>
          <w:kern w:val="2"/>
          <w:sz w:val="28"/>
          <w:szCs w:val="28"/>
          <w:vertAlign w:val="superscript"/>
          <w:lang w:val="en-US" w:eastAsia="zh-CN" w:bidi="ar-SA"/>
        </w:rPr>
        <w:t>3</w:t>
      </w:r>
      <w:r>
        <w:rPr>
          <w:rFonts w:hint="eastAsia" w:ascii="Times New Roman" w:hAnsi="Times New Roman" w:eastAsia="宋体" w:cs="Times New Roman"/>
          <w:kern w:val="2"/>
          <w:sz w:val="28"/>
          <w:szCs w:val="28"/>
          <w:lang w:val="en-US" w:eastAsia="zh-CN" w:bidi="ar-SA"/>
        </w:rPr>
        <w:t>、粘度为63s的泥浆钻至井深4049.68m，层位为飞仙关，设计泥浆密度为1.37-1.45g/cm</w:t>
      </w:r>
      <w:r>
        <w:rPr>
          <w:rFonts w:hint="eastAsia" w:ascii="Times New Roman" w:hAnsi="Times New Roman" w:eastAsia="宋体" w:cs="Times New Roman"/>
          <w:kern w:val="2"/>
          <w:sz w:val="28"/>
          <w:szCs w:val="28"/>
          <w:vertAlign w:val="superscript"/>
          <w:lang w:val="en-US" w:eastAsia="zh-CN" w:bidi="ar-SA"/>
        </w:rPr>
        <w:t>3</w:t>
      </w:r>
      <w:r>
        <w:rPr>
          <w:rFonts w:hint="eastAsia" w:ascii="Times New Roman" w:hAnsi="Times New Roman" w:eastAsia="宋体" w:cs="Times New Roman"/>
          <w:kern w:val="2"/>
          <w:sz w:val="28"/>
          <w:szCs w:val="28"/>
          <w:lang w:val="en-US" w:eastAsia="zh-CN" w:bidi="ar-SA"/>
        </w:rPr>
        <w:t>，实际泥浆密度为1.43g/cm</w:t>
      </w:r>
      <w:r>
        <w:rPr>
          <w:rFonts w:hint="eastAsia" w:ascii="Times New Roman" w:hAnsi="Times New Roman" w:eastAsia="宋体" w:cs="Times New Roman"/>
          <w:kern w:val="2"/>
          <w:sz w:val="28"/>
          <w:szCs w:val="28"/>
          <w:vertAlign w:val="superscript"/>
          <w:lang w:val="en-US" w:eastAsia="zh-CN" w:bidi="ar-SA"/>
        </w:rPr>
        <w:t>3</w:t>
      </w:r>
      <w:r>
        <w:rPr>
          <w:rFonts w:hint="eastAsia" w:ascii="Times New Roman" w:hAnsi="Times New Roman" w:eastAsia="宋体"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29-3</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30循环泥浆</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3</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30-12</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00起钻至井深1948m</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12</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00-6</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20调校顶驱滑轨</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16</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20-21</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51继续起钻至井深209.31m</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21</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51-21</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54发现溢流1.1m</w:t>
      </w:r>
      <w:r>
        <w:rPr>
          <w:rFonts w:hint="eastAsia" w:ascii="Times New Roman" w:hAnsi="Times New Roman" w:eastAsia="宋体" w:cs="Times New Roman"/>
          <w:kern w:val="2"/>
          <w:sz w:val="28"/>
          <w:szCs w:val="28"/>
          <w:vertAlign w:val="superscript"/>
          <w:lang w:val="en-US" w:eastAsia="zh-CN" w:bidi="ar-SA"/>
        </w:rPr>
        <w:t>3</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21</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55发出警报，并立即下放钻具</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当时钻具已起至钻台面以上20m左右</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，同时发现泥浆从钻杆水眼内和环空喷出，喷高5-10m，钻具上顶2m左右，大方瓦飞出转盘，不能座吊卡，无法抢接回压凡尔，发生井喷</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21</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55-21</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59关球型防喷器和半封防喷器，钻杆内喷势增大，液、气一起喷至二层台</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21</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59-22</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08立即抢接顶驱，由于钻杆内喷出液气柱的强烈冲击，抢接顶驱不成功，钻具上顶撞击顶驱着火</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22</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08-22</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10关全封防喷器，顶驱火自灭，钻杆内失控。</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3.事故原因分析</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（1）</w:t>
      </w:r>
      <w:r>
        <w:rPr>
          <w:rFonts w:hint="eastAsia" w:ascii="Times New Roman" w:hAnsi="Times New Roman" w:eastAsia="宋体" w:cs="Times New Roman"/>
          <w:kern w:val="2"/>
          <w:sz w:val="28"/>
          <w:szCs w:val="28"/>
          <w:lang w:val="en-US" w:eastAsia="zh-CN" w:bidi="ar-SA"/>
        </w:rPr>
        <w:t>罗家16H井储层暴露段长，且钻遇了高丰度、不均质、裂缝发育的异常带。</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（2）</w:t>
      </w:r>
      <w:r>
        <w:rPr>
          <w:rFonts w:hint="eastAsia" w:ascii="Times New Roman" w:hAnsi="Times New Roman" w:eastAsia="宋体" w:cs="Times New Roman"/>
          <w:kern w:val="2"/>
          <w:sz w:val="28"/>
          <w:szCs w:val="28"/>
          <w:lang w:val="en-US" w:eastAsia="zh-CN" w:bidi="ar-SA"/>
        </w:rPr>
        <w:t>高含硫、高产量天然气水平井钻井工艺不成熟。</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（3）</w:t>
      </w:r>
      <w:r>
        <w:rPr>
          <w:rFonts w:hint="eastAsia" w:ascii="Times New Roman" w:hAnsi="Times New Roman" w:eastAsia="宋体" w:cs="Times New Roman"/>
          <w:kern w:val="2"/>
          <w:sz w:val="28"/>
          <w:szCs w:val="28"/>
          <w:lang w:val="en-US" w:eastAsia="zh-CN" w:bidi="ar-SA"/>
        </w:rPr>
        <w:t>起钻前循环观察时间不够。</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（4）</w:t>
      </w:r>
      <w:r>
        <w:rPr>
          <w:rFonts w:hint="eastAsia" w:ascii="Times New Roman" w:hAnsi="Times New Roman" w:eastAsia="宋体" w:cs="Times New Roman"/>
          <w:kern w:val="2"/>
          <w:sz w:val="28"/>
          <w:szCs w:val="28"/>
          <w:lang w:val="en-US" w:eastAsia="zh-CN" w:bidi="ar-SA"/>
        </w:rPr>
        <w:t>钻井队在起钻过程中灌泥浆不及时、灌入量欠缺。</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（5）</w:t>
      </w:r>
      <w:r>
        <w:rPr>
          <w:rFonts w:hint="eastAsia" w:ascii="Times New Roman" w:hAnsi="Times New Roman" w:eastAsia="宋体" w:cs="Times New Roman"/>
          <w:kern w:val="2"/>
          <w:sz w:val="28"/>
          <w:szCs w:val="28"/>
          <w:lang w:val="en-US" w:eastAsia="zh-CN" w:bidi="ar-SA"/>
        </w:rPr>
        <w:t>由于使用MWD无线随钻测斜仪，钻具中安装的回压阀影响无线随钻测斜，定向井现场施工技术人员决定拆除钻具中安装的回压阀，于12月21日下钻中井队按照定向井现场施工技术人员的指令，拆除了回压阀。</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（6）</w:t>
      </w:r>
      <w:r>
        <w:rPr>
          <w:rFonts w:hint="eastAsia" w:ascii="Times New Roman" w:hAnsi="Times New Roman" w:eastAsia="宋体" w:cs="Times New Roman"/>
          <w:kern w:val="2"/>
          <w:sz w:val="28"/>
          <w:szCs w:val="28"/>
          <w:lang w:val="en-US" w:eastAsia="zh-CN" w:bidi="ar-SA"/>
        </w:rPr>
        <w:t>在起钻至立柱的第3根单根的母接头时发生井喷，当司钻立即下放立柱到第2个单根中部位置时，因喷势凶猛，将大方瓦冲出转盘面，钻具被上顶2m左右，实现不了抢接回压凡尔，紧急情况下井队力图抢接顶驱，又因井口及钻杆内喷泥浆至二层台以上，将顶驱冲得无法对准上部钻杆接头，抢接顶驱无效，随后因钻具上冲撞击顶驱而着火，井队被迫采取关全封防喷器的办法试图将钻杆剪断，以达到控制井口的目的，但钻具未被剪断，结果导致井喷失控。</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4.事故教训及防范措施</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（1）</w:t>
      </w:r>
      <w:r>
        <w:rPr>
          <w:rFonts w:hint="eastAsia" w:ascii="Times New Roman" w:hAnsi="Times New Roman" w:eastAsia="宋体" w:cs="Times New Roman"/>
          <w:kern w:val="2"/>
          <w:sz w:val="28"/>
          <w:szCs w:val="28"/>
          <w:lang w:val="en-US" w:eastAsia="zh-CN" w:bidi="ar-SA"/>
        </w:rPr>
        <w:t>应进一步认识高含硫地区钻井井控问题的特殊性和复杂性，针对高含硫地区水平井钻井，补充和完善相关的操作规程和管理制度，针对单井制定详细的井控安全预案。在管理上深入查找漏洞，建立高效的运行机制和管理体系</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（2）</w:t>
      </w:r>
      <w:r>
        <w:rPr>
          <w:rFonts w:hint="eastAsia" w:ascii="Times New Roman" w:hAnsi="Times New Roman" w:eastAsia="宋体" w:cs="Times New Roman"/>
          <w:kern w:val="2"/>
          <w:sz w:val="28"/>
          <w:szCs w:val="28"/>
          <w:lang w:val="en-US" w:eastAsia="zh-CN" w:bidi="ar-SA"/>
        </w:rPr>
        <w:t>严格执行以</w:t>
      </w:r>
      <w:r>
        <w:rPr>
          <w:rFonts w:hint="eastAsia" w:ascii="Times New Roman" w:hAnsi="Times New Roman" w:eastAsia="宋体" w:cs="Times New Roman"/>
          <w:kern w:val="2"/>
          <w:sz w:val="28"/>
          <w:szCs w:val="28"/>
          <w:lang w:val="en-US" w:eastAsia="zh-CN" w:bidi="ar-SA"/>
        </w:rPr>
        <w:fldChar w:fldCharType="begin"/>
      </w:r>
      <w:r>
        <w:rPr>
          <w:rFonts w:hint="eastAsia" w:ascii="Times New Roman" w:hAnsi="Times New Roman" w:eastAsia="宋体" w:cs="Times New Roman"/>
          <w:kern w:val="2"/>
          <w:sz w:val="28"/>
          <w:szCs w:val="28"/>
          <w:lang w:val="en-US" w:eastAsia="zh-CN" w:bidi="ar-SA"/>
        </w:rPr>
        <w:instrText xml:space="preserve"> HYPERLINK "http://www.aqxx.org/" \o "安全信息网 安全生产信息网" \t "http://old.aqxx.org/Item/_blank" </w:instrText>
      </w:r>
      <w:r>
        <w:rPr>
          <w:rFonts w:hint="eastAsia" w:ascii="Times New Roman" w:hAnsi="Times New Roman" w:eastAsia="宋体" w:cs="Times New Roman"/>
          <w:kern w:val="2"/>
          <w:sz w:val="28"/>
          <w:szCs w:val="28"/>
          <w:lang w:val="en-US" w:eastAsia="zh-CN" w:bidi="ar-SA"/>
        </w:rPr>
        <w:fldChar w:fldCharType="separate"/>
      </w:r>
      <w:r>
        <w:rPr>
          <w:rFonts w:hint="eastAsia" w:ascii="Times New Roman" w:hAnsi="Times New Roman" w:eastAsia="宋体" w:cs="Times New Roman"/>
          <w:kern w:val="2"/>
          <w:sz w:val="28"/>
          <w:szCs w:val="28"/>
          <w:lang w:val="en-US" w:eastAsia="zh-CN" w:bidi="ar-SA"/>
        </w:rPr>
        <w:t>安全生产</w:t>
      </w:r>
      <w:r>
        <w:rPr>
          <w:rFonts w:hint="eastAsia" w:ascii="Times New Roman" w:hAnsi="Times New Roman" w:eastAsia="宋体" w:cs="Times New Roman"/>
          <w:kern w:val="2"/>
          <w:sz w:val="28"/>
          <w:szCs w:val="28"/>
          <w:lang w:val="en-US" w:eastAsia="zh-CN" w:bidi="ar-SA"/>
        </w:rPr>
        <w:fldChar w:fldCharType="end"/>
      </w:r>
      <w:r>
        <w:rPr>
          <w:rFonts w:hint="eastAsia" w:ascii="Times New Roman" w:hAnsi="Times New Roman" w:eastAsia="宋体" w:cs="Times New Roman"/>
          <w:kern w:val="2"/>
          <w:sz w:val="28"/>
          <w:szCs w:val="28"/>
          <w:lang w:val="en-US" w:eastAsia="zh-CN" w:bidi="ar-SA"/>
        </w:rPr>
        <w:t>责任制为中心的各项安全管理制度，特别是要认真贯彻落实井控安全管理制度，加强监督管理。</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（3）</w:t>
      </w:r>
      <w:r>
        <w:rPr>
          <w:rFonts w:hint="eastAsia" w:ascii="Times New Roman" w:hAnsi="Times New Roman" w:eastAsia="宋体" w:cs="Times New Roman"/>
          <w:kern w:val="2"/>
          <w:sz w:val="28"/>
          <w:szCs w:val="28"/>
          <w:lang w:val="en-US" w:eastAsia="zh-CN" w:bidi="ar-SA"/>
        </w:rPr>
        <w:t>对重点工程项目，如长段水平井工艺，要及时组织总结、科学分析、技术培训，边干边学、不断成熟，但首先要把安全放在第一位</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（4）</w:t>
      </w:r>
      <w:r>
        <w:rPr>
          <w:rFonts w:hint="eastAsia" w:ascii="Times New Roman" w:hAnsi="Times New Roman" w:eastAsia="宋体" w:cs="Times New Roman"/>
          <w:kern w:val="2"/>
          <w:sz w:val="28"/>
          <w:szCs w:val="28"/>
          <w:lang w:val="en-US" w:eastAsia="zh-CN" w:bidi="ar-SA"/>
        </w:rPr>
        <w:t>对危及</w:t>
      </w:r>
      <w:r>
        <w:rPr>
          <w:rFonts w:hint="eastAsia" w:ascii="Times New Roman" w:hAnsi="Times New Roman" w:eastAsia="宋体" w:cs="Times New Roman"/>
          <w:kern w:val="2"/>
          <w:sz w:val="28"/>
          <w:szCs w:val="28"/>
          <w:lang w:val="en-US" w:eastAsia="zh-CN" w:bidi="ar-SA"/>
        </w:rPr>
        <w:fldChar w:fldCharType="begin"/>
      </w:r>
      <w:r>
        <w:rPr>
          <w:rFonts w:hint="eastAsia" w:ascii="Times New Roman" w:hAnsi="Times New Roman" w:eastAsia="宋体" w:cs="Times New Roman"/>
          <w:kern w:val="2"/>
          <w:sz w:val="28"/>
          <w:szCs w:val="28"/>
          <w:lang w:val="en-US" w:eastAsia="zh-CN" w:bidi="ar-SA"/>
        </w:rPr>
        <w:instrText xml:space="preserve"> HYPERLINK "http://www.aqxx.org/" \o "安全信息网 安全生产信息网" \t "http://old.aqxx.org/Item/_blank" </w:instrText>
      </w:r>
      <w:r>
        <w:rPr>
          <w:rFonts w:hint="eastAsia" w:ascii="Times New Roman" w:hAnsi="Times New Roman" w:eastAsia="宋体" w:cs="Times New Roman"/>
          <w:kern w:val="2"/>
          <w:sz w:val="28"/>
          <w:szCs w:val="28"/>
          <w:lang w:val="en-US" w:eastAsia="zh-CN" w:bidi="ar-SA"/>
        </w:rPr>
        <w:fldChar w:fldCharType="separate"/>
      </w:r>
      <w:r>
        <w:rPr>
          <w:rFonts w:hint="eastAsia" w:ascii="Times New Roman" w:hAnsi="Times New Roman" w:eastAsia="宋体" w:cs="Times New Roman"/>
          <w:kern w:val="2"/>
          <w:sz w:val="28"/>
          <w:szCs w:val="28"/>
          <w:lang w:val="en-US" w:eastAsia="zh-CN" w:bidi="ar-SA"/>
        </w:rPr>
        <w:t>安全生产</w:t>
      </w:r>
      <w:r>
        <w:rPr>
          <w:rFonts w:hint="eastAsia" w:ascii="Times New Roman" w:hAnsi="Times New Roman" w:eastAsia="宋体" w:cs="Times New Roman"/>
          <w:kern w:val="2"/>
          <w:sz w:val="28"/>
          <w:szCs w:val="28"/>
          <w:lang w:val="en-US" w:eastAsia="zh-CN" w:bidi="ar-SA"/>
        </w:rPr>
        <w:fldChar w:fldCharType="end"/>
      </w:r>
      <w:r>
        <w:rPr>
          <w:rFonts w:hint="eastAsia" w:ascii="Times New Roman" w:hAnsi="Times New Roman" w:eastAsia="宋体" w:cs="Times New Roman"/>
          <w:kern w:val="2"/>
          <w:sz w:val="28"/>
          <w:szCs w:val="28"/>
          <w:lang w:val="en-US" w:eastAsia="zh-CN" w:bidi="ar-SA"/>
        </w:rPr>
        <w:t>的重大环节不但用制度约束，而且在安全检查中必须作为重点，给予认真监督落实</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（5）</w:t>
      </w:r>
      <w:r>
        <w:rPr>
          <w:rFonts w:hint="eastAsia" w:ascii="Times New Roman" w:hAnsi="Times New Roman" w:eastAsia="宋体" w:cs="Times New Roman"/>
          <w:kern w:val="2"/>
          <w:sz w:val="28"/>
          <w:szCs w:val="28"/>
          <w:lang w:val="en-US" w:eastAsia="zh-CN" w:bidi="ar-SA"/>
        </w:rPr>
        <w:t>要进一步健全和完善井控管理规章制度，重点要针对井喷及井喷失控时的放喷点火问题制定应急预案，明确职责，加强预控，确保井控安全管理工作不留漏洞</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（6）</w:t>
      </w:r>
      <w:r>
        <w:rPr>
          <w:rFonts w:hint="eastAsia" w:ascii="Times New Roman" w:hAnsi="Times New Roman" w:eastAsia="宋体" w:cs="Times New Roman"/>
          <w:kern w:val="2"/>
          <w:sz w:val="28"/>
          <w:szCs w:val="28"/>
          <w:lang w:val="en-US" w:eastAsia="zh-CN" w:bidi="ar-SA"/>
        </w:rPr>
        <w:t>增加对井控安全设施的投入，尽快添置适合高含硫地区的剪切闸板防喷器及其它一些重要安全设施</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（7）</w:t>
      </w:r>
      <w:r>
        <w:rPr>
          <w:rFonts w:hint="eastAsia" w:ascii="Times New Roman" w:hAnsi="Times New Roman" w:eastAsia="宋体" w:cs="Times New Roman"/>
          <w:kern w:val="2"/>
          <w:sz w:val="28"/>
          <w:szCs w:val="28"/>
          <w:lang w:val="en-US" w:eastAsia="zh-CN" w:bidi="ar-SA"/>
        </w:rPr>
        <w:t>加强基层队伍建设，配好钻井队领导班子，充实一线技术力量，开展岗位技能培训，增强安全和井控意识，强化对干部职工</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三老、四严</w:t>
      </w:r>
      <w:r>
        <w:rPr>
          <w:rFonts w:hint="eastAsia" w:ascii="Times New Roman" w:hAnsi="Times New Roman" w:cs="Times New Roman"/>
          <w:kern w:val="2"/>
          <w:sz w:val="28"/>
          <w:szCs w:val="28"/>
          <w:lang w:val="en-US" w:eastAsia="zh-CN" w:bidi="ar-SA"/>
        </w:rPr>
        <w:t>”</w:t>
      </w:r>
      <w:r>
        <w:rPr>
          <w:rFonts w:hint="eastAsia" w:ascii="Times New Roman" w:hAnsi="Times New Roman" w:eastAsia="宋体" w:cs="Times New Roman"/>
          <w:kern w:val="2"/>
          <w:sz w:val="28"/>
          <w:szCs w:val="28"/>
          <w:lang w:val="en-US" w:eastAsia="zh-CN" w:bidi="ar-SA"/>
        </w:rPr>
        <w:t>和岗位责任心的教育</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（8）</w:t>
      </w:r>
      <w:r>
        <w:rPr>
          <w:rFonts w:hint="eastAsia" w:ascii="Times New Roman" w:hAnsi="Times New Roman" w:eastAsia="宋体" w:cs="Times New Roman"/>
          <w:kern w:val="2"/>
          <w:sz w:val="28"/>
          <w:szCs w:val="28"/>
          <w:lang w:val="en-US" w:eastAsia="zh-CN" w:bidi="ar-SA"/>
        </w:rPr>
        <w:t>认真贯彻落实《</w:t>
      </w:r>
      <w:r>
        <w:rPr>
          <w:rFonts w:hint="eastAsia" w:ascii="Times New Roman" w:hAnsi="Times New Roman" w:eastAsia="宋体" w:cs="Times New Roman"/>
          <w:kern w:val="2"/>
          <w:sz w:val="28"/>
          <w:szCs w:val="28"/>
          <w:lang w:val="en-US" w:eastAsia="zh-CN" w:bidi="ar-SA"/>
        </w:rPr>
        <w:fldChar w:fldCharType="begin"/>
      </w:r>
      <w:r>
        <w:rPr>
          <w:rFonts w:hint="eastAsia" w:ascii="Times New Roman" w:hAnsi="Times New Roman" w:eastAsia="宋体" w:cs="Times New Roman"/>
          <w:kern w:val="2"/>
          <w:sz w:val="28"/>
          <w:szCs w:val="28"/>
          <w:lang w:val="en-US" w:eastAsia="zh-CN" w:bidi="ar-SA"/>
        </w:rPr>
        <w:instrText xml:space="preserve"> HYPERLINK "http://www.aqxx.org/" \o "安全信息网 安全生产信息网" \t "http://old.aqxx.org/Item/_blank" </w:instrText>
      </w:r>
      <w:r>
        <w:rPr>
          <w:rFonts w:hint="eastAsia" w:ascii="Times New Roman" w:hAnsi="Times New Roman" w:eastAsia="宋体" w:cs="Times New Roman"/>
          <w:kern w:val="2"/>
          <w:sz w:val="28"/>
          <w:szCs w:val="28"/>
          <w:lang w:val="en-US" w:eastAsia="zh-CN" w:bidi="ar-SA"/>
        </w:rPr>
        <w:fldChar w:fldCharType="separate"/>
      </w:r>
      <w:r>
        <w:rPr>
          <w:rFonts w:hint="eastAsia" w:ascii="Times New Roman" w:hAnsi="Times New Roman" w:eastAsia="宋体" w:cs="Times New Roman"/>
          <w:kern w:val="2"/>
          <w:sz w:val="28"/>
          <w:szCs w:val="28"/>
          <w:lang w:val="en-US" w:eastAsia="zh-CN" w:bidi="ar-SA"/>
        </w:rPr>
        <w:t>安全生产</w:t>
      </w:r>
      <w:r>
        <w:rPr>
          <w:rFonts w:hint="eastAsia" w:ascii="Times New Roman" w:hAnsi="Times New Roman" w:eastAsia="宋体" w:cs="Times New Roman"/>
          <w:kern w:val="2"/>
          <w:sz w:val="28"/>
          <w:szCs w:val="28"/>
          <w:lang w:val="en-US" w:eastAsia="zh-CN" w:bidi="ar-SA"/>
        </w:rPr>
        <w:fldChar w:fldCharType="end"/>
      </w:r>
      <w:r>
        <w:rPr>
          <w:rFonts w:hint="eastAsia" w:ascii="Times New Roman" w:hAnsi="Times New Roman" w:eastAsia="宋体" w:cs="Times New Roman"/>
          <w:kern w:val="2"/>
          <w:sz w:val="28"/>
          <w:szCs w:val="28"/>
          <w:lang w:val="en-US" w:eastAsia="zh-CN" w:bidi="ar-SA"/>
        </w:rPr>
        <w:t>法》，进一步完善各级事故应急救援预案系统，将施工现场存在的危险、危害因素要告知当地政府，配合地方政府落实好应急预案，着重做好探井、高压、高含硫、特殊工艺重点井等突发事故应急预案的布控修订和完善工作</w:t>
      </w:r>
      <w:r>
        <w:rPr>
          <w:rFonts w:hint="eastAsia" w:ascii="Times New Roman" w:hAnsi="Times New Roman" w:cs="Times New Roman"/>
          <w:kern w:val="2"/>
          <w:sz w:val="28"/>
          <w:szCs w:val="28"/>
          <w:lang w:val="en-US" w:eastAsia="zh-CN" w:bidi="ar-SA"/>
        </w:rPr>
        <w:t>。</w:t>
      </w:r>
    </w:p>
    <w:p>
      <w:pPr>
        <w:pStyle w:val="4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kern w:val="2"/>
          <w:sz w:val="28"/>
          <w:szCs w:val="28"/>
          <w:lang w:val="en-US" w:eastAsia="zh-CN" w:bidi="ar-SA"/>
        </w:rPr>
        <w:t>（9）</w:t>
      </w:r>
      <w:r>
        <w:rPr>
          <w:rFonts w:hint="eastAsia" w:ascii="Times New Roman" w:hAnsi="Times New Roman" w:eastAsia="宋体" w:cs="Times New Roman"/>
          <w:kern w:val="2"/>
          <w:sz w:val="28"/>
          <w:szCs w:val="28"/>
          <w:lang w:val="en-US" w:eastAsia="zh-CN" w:bidi="ar-SA"/>
        </w:rPr>
        <w:t>处理好安全与效益，开拓市场与增加投入的关系，增加对井控设施的投入，购置适合高含硫地区的剪切闸板防喷器及其它的配套安全设施，进一步提高井控工作的本质安全。</w:t>
      </w:r>
    </w:p>
    <w:p>
      <w:pPr>
        <w:keepNext/>
        <w:keepLines/>
        <w:adjustRightInd w:val="0"/>
        <w:snapToGrid w:val="0"/>
        <w:spacing w:line="360" w:lineRule="auto"/>
        <w:outlineLvl w:val="2"/>
        <w:rPr>
          <w:rFonts w:hint="default" w:eastAsia="黑体"/>
          <w:bCs/>
          <w:snapToGrid w:val="0"/>
          <w:kern w:val="0"/>
          <w:sz w:val="28"/>
          <w:szCs w:val="28"/>
          <w:lang w:val="en-US" w:eastAsia="zh-CN"/>
        </w:rPr>
      </w:pPr>
      <w:r>
        <w:rPr>
          <w:rFonts w:hint="eastAsia" w:eastAsia="黑体"/>
          <w:bCs/>
          <w:snapToGrid w:val="0"/>
          <w:kern w:val="0"/>
          <w:sz w:val="28"/>
          <w:szCs w:val="28"/>
        </w:rPr>
        <w:t>3.</w:t>
      </w:r>
      <w:r>
        <w:rPr>
          <w:rFonts w:hint="eastAsia" w:eastAsia="黑体"/>
          <w:bCs/>
          <w:snapToGrid w:val="0"/>
          <w:kern w:val="0"/>
          <w:sz w:val="28"/>
          <w:szCs w:val="28"/>
          <w:lang w:val="en-US" w:eastAsia="zh-CN"/>
        </w:rPr>
        <w:t>8</w:t>
      </w:r>
      <w:r>
        <w:rPr>
          <w:rFonts w:hint="eastAsia" w:eastAsia="黑体"/>
          <w:bCs/>
          <w:snapToGrid w:val="0"/>
          <w:kern w:val="0"/>
          <w:sz w:val="28"/>
          <w:szCs w:val="28"/>
        </w:rPr>
        <w:t>.</w:t>
      </w:r>
      <w:r>
        <w:rPr>
          <w:rFonts w:hint="eastAsia" w:eastAsia="黑体"/>
          <w:bCs/>
          <w:snapToGrid w:val="0"/>
          <w:kern w:val="0"/>
          <w:sz w:val="28"/>
          <w:szCs w:val="28"/>
          <w:lang w:val="en-US" w:eastAsia="zh-CN"/>
        </w:rPr>
        <w:t>2</w:t>
      </w:r>
      <w:r>
        <w:rPr>
          <w:rFonts w:hint="eastAsia" w:eastAsia="黑体"/>
          <w:bCs/>
          <w:snapToGrid w:val="0"/>
          <w:kern w:val="0"/>
          <w:sz w:val="28"/>
          <w:szCs w:val="28"/>
        </w:rPr>
        <w:t xml:space="preserve"> </w:t>
      </w:r>
      <w:r>
        <w:rPr>
          <w:rFonts w:hint="eastAsia" w:eastAsia="黑体"/>
          <w:bCs/>
          <w:snapToGrid w:val="0"/>
          <w:kern w:val="0"/>
          <w:sz w:val="28"/>
          <w:szCs w:val="28"/>
          <w:lang w:val="en-US" w:eastAsia="zh-CN"/>
        </w:rPr>
        <w:t>迪那2井井喷失控事故案例</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1.基本情况</w:t>
      </w:r>
    </w:p>
    <w:p>
      <w:pPr>
        <w:adjustRightInd w:val="0"/>
        <w:snapToGrid w:val="0"/>
        <w:spacing w:line="360" w:lineRule="auto"/>
        <w:ind w:firstLine="560" w:firstLineChars="200"/>
        <w:rPr>
          <w:rFonts w:hint="eastAsia"/>
          <w:sz w:val="28"/>
          <w:szCs w:val="28"/>
          <w:lang w:eastAsia="zh-CN"/>
        </w:rPr>
      </w:pPr>
      <w:r>
        <w:rPr>
          <w:rFonts w:hint="eastAsia"/>
          <w:sz w:val="28"/>
          <w:szCs w:val="28"/>
        </w:rPr>
        <w:t>迪那2井位于塔里木油田东秋立塔克构造带东段迪那2号构造上，由</w:t>
      </w:r>
      <w:r>
        <w:rPr>
          <w:rFonts w:hint="eastAsia"/>
          <w:sz w:val="28"/>
          <w:szCs w:val="28"/>
          <w:lang w:val="en-US" w:eastAsia="zh-CN"/>
        </w:rPr>
        <w:t>XX</w:t>
      </w:r>
      <w:r>
        <w:rPr>
          <w:rFonts w:hint="eastAsia"/>
          <w:sz w:val="28"/>
          <w:szCs w:val="28"/>
        </w:rPr>
        <w:t>井队承钻，井口安装了20"×133/8"×95/8"×51/2"-70套管头及35-70防喷器组。2000年8月5日开钻，2001年4月4日四开，钻井液密度1.83g/cm</w:t>
      </w:r>
      <w:r>
        <w:rPr>
          <w:rFonts w:hint="eastAsia"/>
          <w:sz w:val="28"/>
          <w:szCs w:val="28"/>
          <w:vertAlign w:val="superscript"/>
        </w:rPr>
        <w:t>3</w:t>
      </w:r>
      <w:r>
        <w:rPr>
          <w:rFonts w:hint="eastAsia"/>
          <w:sz w:val="28"/>
          <w:szCs w:val="28"/>
        </w:rPr>
        <w:t>，4月19日钻至井深4742m后将密度提至1.85g/cm</w:t>
      </w:r>
      <w:r>
        <w:rPr>
          <w:rFonts w:hint="eastAsia"/>
          <w:sz w:val="28"/>
          <w:szCs w:val="28"/>
          <w:vertAlign w:val="superscript"/>
        </w:rPr>
        <w:t>3</w:t>
      </w:r>
      <w:r>
        <w:rPr>
          <w:rFonts w:hint="eastAsia"/>
          <w:sz w:val="28"/>
          <w:szCs w:val="28"/>
        </w:rPr>
        <w:t>。</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2.事故发生经过</w:t>
      </w:r>
    </w:p>
    <w:p>
      <w:pPr>
        <w:adjustRightInd w:val="0"/>
        <w:snapToGrid w:val="0"/>
        <w:spacing w:line="360" w:lineRule="auto"/>
        <w:ind w:firstLine="560" w:firstLineChars="200"/>
        <w:rPr>
          <w:rFonts w:hint="eastAsia"/>
          <w:sz w:val="28"/>
          <w:szCs w:val="28"/>
          <w:lang w:eastAsia="zh-CN"/>
        </w:rPr>
      </w:pPr>
      <w:r>
        <w:rPr>
          <w:rFonts w:hint="eastAsia"/>
          <w:sz w:val="28"/>
          <w:szCs w:val="28"/>
        </w:rPr>
        <w:t>2001年4月29日4</w:t>
      </w:r>
      <w:r>
        <w:rPr>
          <w:rFonts w:hint="eastAsia"/>
          <w:sz w:val="28"/>
          <w:szCs w:val="28"/>
          <w:lang w:eastAsia="zh-CN"/>
        </w:rPr>
        <w:t>：</w:t>
      </w:r>
      <w:r>
        <w:rPr>
          <w:rFonts w:hint="eastAsia"/>
          <w:sz w:val="28"/>
          <w:szCs w:val="28"/>
        </w:rPr>
        <w:t>28钻至井深4875.59m时发现溢流，钻井液池液面上涨了1.2m</w:t>
      </w:r>
      <w:r>
        <w:rPr>
          <w:rFonts w:hint="eastAsia"/>
          <w:sz w:val="28"/>
          <w:szCs w:val="28"/>
          <w:vertAlign w:val="superscript"/>
        </w:rPr>
        <w:t>3</w:t>
      </w:r>
      <w:r>
        <w:rPr>
          <w:rFonts w:hint="eastAsia"/>
          <w:sz w:val="28"/>
          <w:szCs w:val="28"/>
        </w:rPr>
        <w:t>，4</w:t>
      </w:r>
      <w:r>
        <w:rPr>
          <w:rFonts w:hint="eastAsia"/>
          <w:sz w:val="28"/>
          <w:szCs w:val="28"/>
          <w:lang w:eastAsia="zh-CN"/>
        </w:rPr>
        <w:t>：</w:t>
      </w:r>
      <w:r>
        <w:rPr>
          <w:rFonts w:hint="eastAsia"/>
          <w:sz w:val="28"/>
          <w:szCs w:val="28"/>
        </w:rPr>
        <w:t>34关井，关井后测量钻井液池液面上涨了4.3m</w:t>
      </w:r>
      <w:r>
        <w:rPr>
          <w:rFonts w:hint="eastAsia"/>
          <w:sz w:val="28"/>
          <w:szCs w:val="28"/>
          <w:vertAlign w:val="superscript"/>
        </w:rPr>
        <w:t>3</w:t>
      </w:r>
      <w:r>
        <w:rPr>
          <w:rFonts w:hint="eastAsia"/>
          <w:sz w:val="28"/>
          <w:szCs w:val="28"/>
        </w:rPr>
        <w:t>，4</w:t>
      </w:r>
      <w:r>
        <w:rPr>
          <w:rFonts w:hint="eastAsia"/>
          <w:sz w:val="28"/>
          <w:szCs w:val="28"/>
          <w:lang w:eastAsia="zh-CN"/>
        </w:rPr>
        <w:t>：</w:t>
      </w:r>
      <w:r>
        <w:rPr>
          <w:rFonts w:hint="eastAsia"/>
          <w:sz w:val="28"/>
          <w:szCs w:val="28"/>
        </w:rPr>
        <w:t>50关井，观察立压为14MPa，套压为16MPa，计算地层压力为102.4MPa。5</w:t>
      </w:r>
      <w:r>
        <w:rPr>
          <w:rFonts w:hint="eastAsia"/>
          <w:sz w:val="28"/>
          <w:szCs w:val="28"/>
          <w:lang w:eastAsia="zh-CN"/>
        </w:rPr>
        <w:t>：</w:t>
      </w:r>
      <w:r>
        <w:rPr>
          <w:rFonts w:hint="eastAsia"/>
          <w:sz w:val="28"/>
          <w:szCs w:val="28"/>
        </w:rPr>
        <w:t>00开节流阀卸压，立压降至2.5MPa，套压降至8MPa，卸压过程中又溢流17.7m</w:t>
      </w:r>
      <w:r>
        <w:rPr>
          <w:rFonts w:hint="eastAsia"/>
          <w:sz w:val="28"/>
          <w:szCs w:val="28"/>
          <w:vertAlign w:val="superscript"/>
        </w:rPr>
        <w:t>3</w:t>
      </w:r>
      <w:r>
        <w:rPr>
          <w:rFonts w:hint="eastAsia"/>
          <w:sz w:val="28"/>
          <w:szCs w:val="28"/>
        </w:rPr>
        <w:t>，总溢流达227m</w:t>
      </w:r>
      <w:r>
        <w:rPr>
          <w:rFonts w:hint="eastAsia"/>
          <w:sz w:val="28"/>
          <w:szCs w:val="28"/>
          <w:vertAlign w:val="superscript"/>
        </w:rPr>
        <w:t>3</w:t>
      </w:r>
      <w:r>
        <w:rPr>
          <w:rFonts w:hint="eastAsia"/>
          <w:sz w:val="28"/>
          <w:szCs w:val="28"/>
        </w:rPr>
        <w:t>。5</w:t>
      </w:r>
      <w:r>
        <w:rPr>
          <w:rFonts w:hint="eastAsia"/>
          <w:sz w:val="28"/>
          <w:szCs w:val="28"/>
          <w:lang w:eastAsia="zh-CN"/>
        </w:rPr>
        <w:t>：</w:t>
      </w:r>
      <w:r>
        <w:rPr>
          <w:rFonts w:hint="eastAsia"/>
          <w:sz w:val="28"/>
          <w:szCs w:val="28"/>
        </w:rPr>
        <w:t>15关井观察，立压为27MPa，套压为33MPa，关下旋塞。20</w:t>
      </w:r>
      <w:r>
        <w:rPr>
          <w:rFonts w:hint="eastAsia"/>
          <w:sz w:val="28"/>
          <w:szCs w:val="28"/>
          <w:lang w:eastAsia="zh-CN"/>
        </w:rPr>
        <w:t>：</w:t>
      </w:r>
      <w:r>
        <w:rPr>
          <w:rFonts w:hint="eastAsia"/>
          <w:sz w:val="28"/>
          <w:szCs w:val="28"/>
        </w:rPr>
        <w:t>30配密度为2.20g/cm</w:t>
      </w:r>
      <w:r>
        <w:rPr>
          <w:rFonts w:hint="eastAsia"/>
          <w:sz w:val="28"/>
          <w:szCs w:val="28"/>
          <w:vertAlign w:val="superscript"/>
        </w:rPr>
        <w:t>3</w:t>
      </w:r>
      <w:r>
        <w:rPr>
          <w:rFonts w:hint="eastAsia"/>
          <w:sz w:val="28"/>
          <w:szCs w:val="28"/>
        </w:rPr>
        <w:t>的重浆300m</w:t>
      </w:r>
      <w:r>
        <w:rPr>
          <w:rFonts w:hint="eastAsia"/>
          <w:sz w:val="28"/>
          <w:szCs w:val="28"/>
          <w:vertAlign w:val="superscript"/>
        </w:rPr>
        <w:t>3</w:t>
      </w:r>
      <w:r>
        <w:rPr>
          <w:rFonts w:hint="eastAsia"/>
          <w:sz w:val="28"/>
          <w:szCs w:val="28"/>
        </w:rPr>
        <w:t>，准备压井。</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3.事故原因分析</w:t>
      </w:r>
    </w:p>
    <w:p>
      <w:pPr>
        <w:adjustRightInd w:val="0"/>
        <w:snapToGrid w:val="0"/>
        <w:spacing w:line="360" w:lineRule="auto"/>
        <w:ind w:firstLine="560" w:firstLineChars="200"/>
        <w:rPr>
          <w:rFonts w:hint="eastAsia"/>
          <w:sz w:val="28"/>
          <w:szCs w:val="28"/>
        </w:rPr>
      </w:pPr>
      <w:r>
        <w:rPr>
          <w:rFonts w:hint="eastAsia"/>
          <w:sz w:val="28"/>
          <w:szCs w:val="28"/>
          <w:lang w:eastAsia="zh-CN"/>
        </w:rPr>
        <w:t>（</w:t>
      </w:r>
      <w:r>
        <w:rPr>
          <w:rFonts w:hint="eastAsia"/>
          <w:sz w:val="28"/>
          <w:szCs w:val="28"/>
          <w:lang w:val="en-US" w:eastAsia="zh-CN"/>
        </w:rPr>
        <w:t>1）</w:t>
      </w:r>
      <w:r>
        <w:rPr>
          <w:rFonts w:hint="eastAsia"/>
          <w:sz w:val="28"/>
          <w:szCs w:val="28"/>
        </w:rPr>
        <w:t>地层异常高压、高产是造成这起事故的主要原因。</w:t>
      </w:r>
    </w:p>
    <w:p>
      <w:pPr>
        <w:adjustRightInd w:val="0"/>
        <w:snapToGrid w:val="0"/>
        <w:spacing w:line="360" w:lineRule="auto"/>
        <w:ind w:firstLine="560" w:firstLineChars="200"/>
        <w:rPr>
          <w:rFonts w:hint="eastAsia" w:eastAsia="宋体"/>
          <w:sz w:val="28"/>
          <w:szCs w:val="28"/>
          <w:lang w:eastAsia="zh-CN"/>
        </w:rPr>
      </w:pPr>
      <w:r>
        <w:rPr>
          <w:rFonts w:hint="eastAsia"/>
          <w:sz w:val="28"/>
          <w:szCs w:val="28"/>
          <w:lang w:eastAsia="zh-CN"/>
        </w:rPr>
        <w:t>（</w:t>
      </w:r>
      <w:r>
        <w:rPr>
          <w:rFonts w:hint="eastAsia"/>
          <w:sz w:val="28"/>
          <w:szCs w:val="28"/>
          <w:lang w:val="en-US" w:eastAsia="zh-CN"/>
        </w:rPr>
        <w:t>2）</w:t>
      </w:r>
      <w:r>
        <w:rPr>
          <w:rFonts w:hint="eastAsia"/>
          <w:sz w:val="28"/>
          <w:szCs w:val="28"/>
        </w:rPr>
        <w:t>手动节流阀在高压条件下蹩脱，使节流管汇高低压串通，导致软管憋爆，是造成本次事故的直接原因</w:t>
      </w:r>
      <w:r>
        <w:rPr>
          <w:rFonts w:hint="eastAsia"/>
          <w:sz w:val="28"/>
          <w:szCs w:val="28"/>
          <w:lang w:eastAsia="zh-CN"/>
        </w:rPr>
        <w:t>。</w:t>
      </w:r>
    </w:p>
    <w:p>
      <w:pPr>
        <w:adjustRightInd w:val="0"/>
        <w:snapToGrid w:val="0"/>
        <w:spacing w:line="360" w:lineRule="auto"/>
        <w:ind w:firstLine="560" w:firstLineChars="200"/>
        <w:rPr>
          <w:rFonts w:hint="eastAsia"/>
          <w:sz w:val="28"/>
          <w:szCs w:val="28"/>
        </w:rPr>
      </w:pPr>
      <w:r>
        <w:rPr>
          <w:rFonts w:hint="eastAsia"/>
          <w:sz w:val="28"/>
          <w:szCs w:val="28"/>
          <w:lang w:eastAsia="zh-CN"/>
        </w:rPr>
        <w:t>（</w:t>
      </w:r>
      <w:r>
        <w:rPr>
          <w:rFonts w:hint="eastAsia"/>
          <w:sz w:val="28"/>
          <w:szCs w:val="28"/>
          <w:lang w:val="en-US" w:eastAsia="zh-CN"/>
        </w:rPr>
        <w:t>3）</w:t>
      </w:r>
      <w:r>
        <w:rPr>
          <w:rFonts w:hint="eastAsia"/>
          <w:sz w:val="28"/>
          <w:szCs w:val="28"/>
        </w:rPr>
        <w:t>一次关井后现场人员开阀泄压，造成立压、套压快速上升，给压井作业增加了难度，是造成本次事故的一个次要原因。</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4.经验教训</w:t>
      </w:r>
    </w:p>
    <w:p>
      <w:pPr>
        <w:adjustRightInd w:val="0"/>
        <w:snapToGrid w:val="0"/>
        <w:spacing w:line="360" w:lineRule="auto"/>
        <w:ind w:firstLine="560" w:firstLineChars="200"/>
        <w:rPr>
          <w:rFonts w:hint="eastAsia" w:eastAsia="宋体"/>
          <w:sz w:val="28"/>
          <w:szCs w:val="28"/>
          <w:lang w:eastAsia="zh-CN"/>
        </w:rPr>
      </w:pPr>
      <w:r>
        <w:rPr>
          <w:rFonts w:hint="eastAsia"/>
          <w:sz w:val="28"/>
          <w:szCs w:val="28"/>
          <w:lang w:eastAsia="zh-CN"/>
        </w:rPr>
        <w:t>（</w:t>
      </w:r>
      <w:r>
        <w:rPr>
          <w:rFonts w:hint="eastAsia"/>
          <w:sz w:val="28"/>
          <w:szCs w:val="28"/>
          <w:lang w:val="en-US" w:eastAsia="zh-CN"/>
        </w:rPr>
        <w:t>1）</w:t>
      </w:r>
      <w:r>
        <w:rPr>
          <w:rFonts w:hint="eastAsia"/>
          <w:sz w:val="28"/>
          <w:szCs w:val="28"/>
        </w:rPr>
        <w:t>对异常高压气藏认识不</w:t>
      </w:r>
      <w:r>
        <w:rPr>
          <w:rFonts w:hint="eastAsia"/>
          <w:sz w:val="28"/>
          <w:szCs w:val="28"/>
          <w:lang w:val="en-US" w:eastAsia="zh-CN"/>
        </w:rPr>
        <w:t>足</w:t>
      </w:r>
      <w:r>
        <w:rPr>
          <w:rFonts w:hint="eastAsia"/>
          <w:sz w:val="28"/>
          <w:szCs w:val="28"/>
        </w:rPr>
        <w:t>，导致思想、工程和技术措施</w:t>
      </w:r>
      <w:r>
        <w:rPr>
          <w:rFonts w:hint="eastAsia"/>
          <w:sz w:val="28"/>
          <w:szCs w:val="28"/>
          <w:lang w:val="en-US" w:eastAsia="zh-CN"/>
        </w:rPr>
        <w:t>准备不全</w:t>
      </w:r>
      <w:r>
        <w:rPr>
          <w:rFonts w:hint="eastAsia"/>
          <w:sz w:val="28"/>
          <w:szCs w:val="28"/>
        </w:rPr>
        <w:t>，是本次事故应吸取的深刻教训</w:t>
      </w:r>
      <w:r>
        <w:rPr>
          <w:rFonts w:hint="eastAsia"/>
          <w:sz w:val="28"/>
          <w:szCs w:val="28"/>
          <w:lang w:eastAsia="zh-CN"/>
        </w:rPr>
        <w:t>。</w:t>
      </w:r>
    </w:p>
    <w:p>
      <w:pPr>
        <w:adjustRightInd w:val="0"/>
        <w:snapToGrid w:val="0"/>
        <w:spacing w:line="360" w:lineRule="auto"/>
        <w:ind w:firstLine="560" w:firstLineChars="200"/>
        <w:rPr>
          <w:rFonts w:hint="eastAsia"/>
          <w:sz w:val="28"/>
          <w:szCs w:val="28"/>
          <w:lang w:eastAsia="zh-CN"/>
        </w:rPr>
      </w:pPr>
      <w:r>
        <w:rPr>
          <w:rFonts w:hint="eastAsia"/>
          <w:sz w:val="28"/>
          <w:szCs w:val="28"/>
          <w:lang w:eastAsia="zh-CN"/>
        </w:rPr>
        <w:t>（</w:t>
      </w:r>
      <w:r>
        <w:rPr>
          <w:rFonts w:hint="eastAsia"/>
          <w:sz w:val="28"/>
          <w:szCs w:val="28"/>
          <w:lang w:val="en-US" w:eastAsia="zh-CN"/>
        </w:rPr>
        <w:t>2）</w:t>
      </w:r>
      <w:r>
        <w:rPr>
          <w:rFonts w:hint="eastAsia"/>
          <w:sz w:val="28"/>
          <w:szCs w:val="28"/>
        </w:rPr>
        <w:t>对山前高压气井井控管理难度认识不足。虽然迪那2井的井控装置配套压力等级达70MPa，但仍然难以完全满足该井的井控作业要求。此外，一些井控装备性能不完善和老化也给井控管理带来较大风险。本井在压井过程中，节流管汇的70MPa高压阀件</w:t>
      </w:r>
      <w:r>
        <w:rPr>
          <w:rFonts w:hint="eastAsia"/>
          <w:sz w:val="28"/>
          <w:szCs w:val="28"/>
          <w:lang w:eastAsia="zh-CN"/>
        </w:rPr>
        <w:t>（</w:t>
      </w:r>
      <w:r>
        <w:rPr>
          <w:rFonts w:hint="eastAsia"/>
          <w:sz w:val="28"/>
          <w:szCs w:val="28"/>
        </w:rPr>
        <w:t>液动节流阀和手动节流阀</w:t>
      </w:r>
      <w:r>
        <w:rPr>
          <w:rFonts w:hint="eastAsia"/>
          <w:sz w:val="28"/>
          <w:szCs w:val="28"/>
          <w:lang w:eastAsia="zh-CN"/>
        </w:rPr>
        <w:t>）</w:t>
      </w:r>
      <w:r>
        <w:rPr>
          <w:rFonts w:hint="eastAsia"/>
          <w:sz w:val="28"/>
          <w:szCs w:val="28"/>
        </w:rPr>
        <w:t>在承压范围内，先后蹩坏失灵</w:t>
      </w:r>
      <w:r>
        <w:rPr>
          <w:rFonts w:hint="eastAsia"/>
          <w:sz w:val="28"/>
          <w:szCs w:val="28"/>
          <w:lang w:eastAsia="zh-CN"/>
        </w:rPr>
        <w:t>。</w:t>
      </w:r>
    </w:p>
    <w:p>
      <w:pPr>
        <w:adjustRightInd w:val="0"/>
        <w:snapToGrid w:val="0"/>
        <w:spacing w:line="360" w:lineRule="auto"/>
        <w:ind w:firstLine="560" w:firstLineChars="200"/>
        <w:rPr>
          <w:rFonts w:hint="eastAsia"/>
          <w:sz w:val="28"/>
          <w:szCs w:val="28"/>
        </w:rPr>
      </w:pPr>
      <w:r>
        <w:rPr>
          <w:rFonts w:hint="eastAsia"/>
          <w:sz w:val="28"/>
          <w:szCs w:val="28"/>
          <w:lang w:eastAsia="zh-CN"/>
        </w:rPr>
        <w:t>（</w:t>
      </w:r>
      <w:r>
        <w:rPr>
          <w:rFonts w:hint="eastAsia"/>
          <w:sz w:val="28"/>
          <w:szCs w:val="28"/>
          <w:lang w:val="en-US" w:eastAsia="zh-CN"/>
        </w:rPr>
        <w:t>3）</w:t>
      </w:r>
      <w:r>
        <w:rPr>
          <w:rFonts w:hint="eastAsia"/>
          <w:sz w:val="28"/>
          <w:szCs w:val="28"/>
        </w:rPr>
        <w:t>根据迪那2井的事故教训和不断出现的高压、超高压气藏的实际情况，</w:t>
      </w:r>
      <w:r>
        <w:rPr>
          <w:rFonts w:hint="eastAsia"/>
          <w:sz w:val="28"/>
          <w:szCs w:val="28"/>
          <w:lang w:val="en-US" w:eastAsia="zh-CN"/>
        </w:rPr>
        <w:t>应</w:t>
      </w:r>
      <w:r>
        <w:rPr>
          <w:rFonts w:hint="eastAsia"/>
          <w:sz w:val="28"/>
          <w:szCs w:val="28"/>
        </w:rPr>
        <w:t>修改完善井控管理规定，并制定完善的井控技术措施。</w:t>
      </w:r>
    </w:p>
    <w:p>
      <w:pPr>
        <w:pStyle w:val="4"/>
        <w:adjustRightInd w:val="0"/>
        <w:snapToGrid w:val="0"/>
        <w:spacing w:before="0" w:after="0" w:line="360" w:lineRule="auto"/>
        <w:rPr>
          <w:rFonts w:ascii="Times New Roman" w:hAnsi="Times New Roman"/>
          <w:b w:val="0"/>
          <w:bCs/>
          <w:szCs w:val="32"/>
        </w:rPr>
      </w:pPr>
      <w:bookmarkStart w:id="70" w:name="_Toc281310745"/>
      <w:bookmarkStart w:id="71" w:name="_Toc447782521"/>
      <w:bookmarkStart w:id="72" w:name="_Toc329433803"/>
      <w:bookmarkStart w:id="73" w:name="_Toc26534937"/>
      <w:bookmarkStart w:id="74" w:name="_Toc24439"/>
      <w:r>
        <w:rPr>
          <w:rFonts w:hint="eastAsia" w:ascii="Times New Roman" w:hAnsi="Times New Roman"/>
          <w:b w:val="0"/>
          <w:bCs/>
          <w:szCs w:val="32"/>
        </w:rPr>
        <w:t>3.</w:t>
      </w:r>
      <w:r>
        <w:rPr>
          <w:rFonts w:hint="eastAsia" w:ascii="Times New Roman" w:hAnsi="Times New Roman"/>
          <w:b w:val="0"/>
          <w:bCs/>
          <w:szCs w:val="32"/>
          <w:lang w:val="en-US" w:eastAsia="zh-CN"/>
        </w:rPr>
        <w:t>9</w:t>
      </w:r>
      <w:r>
        <w:rPr>
          <w:rFonts w:hint="eastAsia" w:ascii="Times New Roman" w:hAnsi="Times New Roman"/>
          <w:b w:val="0"/>
          <w:bCs/>
          <w:szCs w:val="32"/>
        </w:rPr>
        <w:t xml:space="preserve"> 主要危险、有害因素分析结论</w:t>
      </w:r>
      <w:bookmarkEnd w:id="70"/>
      <w:bookmarkEnd w:id="71"/>
      <w:bookmarkEnd w:id="72"/>
      <w:bookmarkEnd w:id="73"/>
      <w:bookmarkEnd w:id="74"/>
    </w:p>
    <w:p>
      <w:pPr>
        <w:adjustRightInd w:val="0"/>
        <w:snapToGrid w:val="0"/>
        <w:spacing w:line="360" w:lineRule="auto"/>
        <w:ind w:firstLine="560" w:firstLineChars="200"/>
        <w:rPr>
          <w:sz w:val="28"/>
          <w:szCs w:val="28"/>
        </w:rPr>
      </w:pPr>
      <w:r>
        <w:rPr>
          <w:rFonts w:hint="eastAsia"/>
          <w:sz w:val="28"/>
          <w:szCs w:val="28"/>
        </w:rPr>
        <w:t>斯伦贝谢油田技术（山东）有限公司钻井（</w:t>
      </w:r>
      <w:r>
        <w:rPr>
          <w:rFonts w:hint="eastAsia"/>
          <w:sz w:val="28"/>
          <w:szCs w:val="28"/>
          <w:lang w:eastAsia="zh-CN"/>
        </w:rPr>
        <w:t>定向施工</w:t>
      </w:r>
      <w:r>
        <w:rPr>
          <w:rFonts w:hint="eastAsia"/>
          <w:sz w:val="28"/>
          <w:szCs w:val="28"/>
        </w:rPr>
        <w:t>）作业过程中，涉及的主要危险、有害物质有</w:t>
      </w:r>
      <w:r>
        <w:rPr>
          <w:rFonts w:hint="eastAsia"/>
          <w:sz w:val="28"/>
          <w:szCs w:val="28"/>
          <w:lang w:eastAsia="zh-CN"/>
        </w:rPr>
        <w:t>：</w:t>
      </w:r>
      <w:r>
        <w:rPr>
          <w:rFonts w:hint="eastAsia"/>
          <w:sz w:val="28"/>
          <w:szCs w:val="28"/>
        </w:rPr>
        <w:t>原油、天然气、硫化氢、二氧化硫等。</w:t>
      </w:r>
    </w:p>
    <w:p>
      <w:pPr>
        <w:adjustRightInd w:val="0"/>
        <w:snapToGrid w:val="0"/>
        <w:spacing w:line="360" w:lineRule="auto"/>
        <w:ind w:firstLine="560" w:firstLineChars="200"/>
        <w:rPr>
          <w:sz w:val="28"/>
          <w:szCs w:val="28"/>
        </w:rPr>
      </w:pPr>
      <w:r>
        <w:rPr>
          <w:rFonts w:hint="eastAsia"/>
          <w:sz w:val="28"/>
          <w:szCs w:val="28"/>
        </w:rPr>
        <w:t>主要危险因素主要有</w:t>
      </w:r>
      <w:r>
        <w:rPr>
          <w:rFonts w:hint="eastAsia"/>
          <w:sz w:val="28"/>
          <w:szCs w:val="28"/>
          <w:lang w:eastAsia="zh-CN"/>
        </w:rPr>
        <w:t>：</w:t>
      </w:r>
      <w:r>
        <w:rPr>
          <w:rFonts w:hint="eastAsia"/>
          <w:sz w:val="28"/>
          <w:szCs w:val="28"/>
        </w:rPr>
        <w:t>火灾爆炸、井喷及井喷失控、</w:t>
      </w:r>
      <w:r>
        <w:rPr>
          <w:rFonts w:hint="eastAsia"/>
          <w:sz w:val="28"/>
          <w:szCs w:val="28"/>
          <w:lang w:val="en-US" w:eastAsia="zh-CN"/>
        </w:rPr>
        <w:t>中毒窒息</w:t>
      </w:r>
      <w:r>
        <w:rPr>
          <w:rFonts w:hint="eastAsia"/>
          <w:sz w:val="28"/>
          <w:szCs w:val="28"/>
        </w:rPr>
        <w:t>、物体打击、机械伤害、触电、车辆伤害</w:t>
      </w:r>
      <w:r>
        <w:rPr>
          <w:rFonts w:hint="eastAsia"/>
          <w:sz w:val="28"/>
          <w:szCs w:val="28"/>
          <w:lang w:eastAsia="zh-CN"/>
        </w:rPr>
        <w:t>、</w:t>
      </w:r>
      <w:r>
        <w:rPr>
          <w:rFonts w:hint="eastAsia"/>
          <w:sz w:val="28"/>
          <w:szCs w:val="28"/>
          <w:lang w:val="en-US" w:eastAsia="zh-CN"/>
        </w:rPr>
        <w:t>起重伤害、高处坠落、坍塌以及其他伤害</w:t>
      </w:r>
      <w:r>
        <w:rPr>
          <w:rFonts w:hint="eastAsia"/>
          <w:sz w:val="28"/>
          <w:szCs w:val="28"/>
        </w:rPr>
        <w:t>等。</w:t>
      </w:r>
    </w:p>
    <w:p>
      <w:pPr>
        <w:adjustRightInd w:val="0"/>
        <w:snapToGrid w:val="0"/>
        <w:spacing w:line="360" w:lineRule="auto"/>
        <w:ind w:firstLine="560" w:firstLineChars="200"/>
        <w:rPr>
          <w:sz w:val="28"/>
          <w:szCs w:val="28"/>
        </w:rPr>
      </w:pPr>
      <w:r>
        <w:rPr>
          <w:rFonts w:hint="eastAsia"/>
          <w:sz w:val="28"/>
          <w:szCs w:val="28"/>
        </w:rPr>
        <w:t>主要有害因素有</w:t>
      </w:r>
      <w:r>
        <w:rPr>
          <w:rFonts w:hint="eastAsia"/>
          <w:sz w:val="28"/>
          <w:szCs w:val="28"/>
          <w:lang w:eastAsia="zh-CN"/>
        </w:rPr>
        <w:t>：</w:t>
      </w:r>
      <w:r>
        <w:rPr>
          <w:rFonts w:hint="eastAsia"/>
          <w:sz w:val="28"/>
          <w:szCs w:val="28"/>
        </w:rPr>
        <w:t>噪声危害</w:t>
      </w:r>
      <w:r>
        <w:rPr>
          <w:rFonts w:hint="eastAsia"/>
          <w:sz w:val="28"/>
          <w:szCs w:val="28"/>
          <w:lang w:eastAsia="zh-CN"/>
        </w:rPr>
        <w:t>、</w:t>
      </w:r>
      <w:r>
        <w:rPr>
          <w:rFonts w:hint="eastAsia"/>
          <w:sz w:val="28"/>
          <w:szCs w:val="28"/>
        </w:rPr>
        <w:t>毒物危害</w:t>
      </w:r>
      <w:r>
        <w:rPr>
          <w:rFonts w:hint="eastAsia"/>
          <w:sz w:val="28"/>
          <w:szCs w:val="28"/>
          <w:lang w:val="en-US" w:eastAsia="zh-CN"/>
        </w:rPr>
        <w:t>和振动危害</w:t>
      </w:r>
      <w:r>
        <w:rPr>
          <w:rFonts w:hint="eastAsia"/>
          <w:sz w:val="28"/>
          <w:szCs w:val="28"/>
        </w:rPr>
        <w:t>。</w:t>
      </w:r>
    </w:p>
    <w:p>
      <w:pPr>
        <w:adjustRightInd w:val="0"/>
        <w:snapToGrid w:val="0"/>
        <w:spacing w:line="360" w:lineRule="auto"/>
        <w:ind w:firstLine="560" w:firstLineChars="200"/>
        <w:rPr>
          <w:color w:val="000000"/>
          <w:sz w:val="28"/>
          <w:szCs w:val="28"/>
        </w:rPr>
      </w:pPr>
      <w:r>
        <w:rPr>
          <w:rFonts w:hint="eastAsia"/>
          <w:sz w:val="28"/>
          <w:szCs w:val="28"/>
        </w:rPr>
        <w:t>自然灾害有</w:t>
      </w:r>
      <w:r>
        <w:rPr>
          <w:rFonts w:hint="eastAsia"/>
          <w:sz w:val="28"/>
          <w:szCs w:val="28"/>
          <w:lang w:eastAsia="zh-CN"/>
        </w:rPr>
        <w:t>：</w:t>
      </w:r>
      <w:r>
        <w:rPr>
          <w:rFonts w:ascii="Times New Roman" w:hAnsi="Times New Roman" w:cs="Times New Roman"/>
          <w:smallCaps w:val="0"/>
          <w:spacing w:val="-4"/>
          <w:sz w:val="28"/>
          <w:szCs w:val="28"/>
        </w:rPr>
        <w:t>雷击、地震、洪涝灾害、大风、高温和低温</w:t>
      </w:r>
      <w:r>
        <w:rPr>
          <w:rFonts w:hint="eastAsia" w:cs="Times New Roman"/>
          <w:smallCaps w:val="0"/>
          <w:spacing w:val="-4"/>
          <w:sz w:val="28"/>
          <w:szCs w:val="28"/>
          <w:lang w:eastAsia="zh-CN"/>
        </w:rPr>
        <w:t>、</w:t>
      </w:r>
      <w:r>
        <w:rPr>
          <w:rFonts w:hint="eastAsia" w:cs="Times New Roman"/>
          <w:smallCaps w:val="0"/>
          <w:spacing w:val="-4"/>
          <w:sz w:val="28"/>
          <w:szCs w:val="28"/>
          <w:lang w:val="en-US" w:eastAsia="zh-CN"/>
        </w:rPr>
        <w:t>沙尘暴</w:t>
      </w:r>
      <w:r>
        <w:rPr>
          <w:rFonts w:ascii="Times New Roman" w:hAnsi="Times New Roman" w:cs="Times New Roman"/>
          <w:smallCaps w:val="0"/>
          <w:spacing w:val="-4"/>
          <w:sz w:val="28"/>
          <w:szCs w:val="28"/>
        </w:rPr>
        <w:t>等</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rPr>
        <w:t>斯伦贝谢油田技术（山东）有限公司钻井（</w:t>
      </w:r>
      <w:r>
        <w:rPr>
          <w:rFonts w:hint="eastAsia"/>
          <w:sz w:val="28"/>
          <w:szCs w:val="28"/>
          <w:lang w:eastAsia="zh-CN"/>
        </w:rPr>
        <w:t>定向施工</w:t>
      </w:r>
      <w:r>
        <w:rPr>
          <w:rFonts w:hint="eastAsia"/>
          <w:sz w:val="28"/>
          <w:szCs w:val="28"/>
        </w:rPr>
        <w:t>）项目未构成危险化学品重大危险源。</w:t>
      </w:r>
    </w:p>
    <w:p>
      <w:pPr>
        <w:adjustRightInd w:val="0"/>
        <w:snapToGrid w:val="0"/>
        <w:spacing w:line="360" w:lineRule="auto"/>
        <w:ind w:firstLine="560" w:firstLineChars="200"/>
        <w:rPr>
          <w:color w:val="000000"/>
          <w:sz w:val="28"/>
          <w:szCs w:val="28"/>
        </w:rPr>
      </w:pPr>
    </w:p>
    <w:p>
      <w:pPr>
        <w:adjustRightInd w:val="0"/>
        <w:snapToGrid w:val="0"/>
        <w:spacing w:line="360" w:lineRule="auto"/>
        <w:rPr>
          <w:sz w:val="28"/>
          <w:szCs w:val="28"/>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bookmarkEnd w:id="14"/>
    <w:bookmarkEnd w:id="15"/>
    <w:bookmarkEnd w:id="16"/>
    <w:bookmarkEnd w:id="17"/>
    <w:bookmarkEnd w:id="22"/>
    <w:p>
      <w:pPr>
        <w:pStyle w:val="3"/>
        <w:adjustRightInd w:val="0"/>
        <w:snapToGrid w:val="0"/>
        <w:spacing w:line="360" w:lineRule="auto"/>
        <w:rPr>
          <w:rFonts w:eastAsia="楷体_GB2312"/>
          <w:b/>
          <w:sz w:val="36"/>
          <w:szCs w:val="36"/>
        </w:rPr>
      </w:pPr>
      <w:bookmarkStart w:id="75" w:name="_Toc202759432"/>
      <w:bookmarkStart w:id="76" w:name="_Toc291144373"/>
      <w:bookmarkStart w:id="77" w:name="_Toc244964631"/>
      <w:bookmarkStart w:id="78" w:name="_Toc215277173"/>
      <w:bookmarkStart w:id="79" w:name="_Toc298756206"/>
      <w:bookmarkStart w:id="80" w:name="_Toc7689"/>
      <w:bookmarkStart w:id="81" w:name="_Toc281310747"/>
      <w:r>
        <w:rPr>
          <w:rFonts w:hint="eastAsia" w:eastAsia="楷体_GB2312"/>
          <w:b/>
          <w:sz w:val="36"/>
          <w:szCs w:val="36"/>
        </w:rPr>
        <w:t>4</w:t>
      </w:r>
      <w:r>
        <w:rPr>
          <w:rFonts w:eastAsia="楷体_GB2312"/>
          <w:b/>
          <w:sz w:val="36"/>
          <w:szCs w:val="36"/>
        </w:rPr>
        <w:t xml:space="preserve"> </w:t>
      </w:r>
      <w:r>
        <w:rPr>
          <w:rFonts w:hint="eastAsia" w:eastAsia="楷体_GB2312"/>
          <w:b/>
          <w:sz w:val="36"/>
          <w:szCs w:val="36"/>
        </w:rPr>
        <w:t>评价单元划分</w:t>
      </w:r>
      <w:bookmarkEnd w:id="75"/>
      <w:r>
        <w:rPr>
          <w:rFonts w:hint="eastAsia" w:eastAsia="楷体_GB2312"/>
          <w:b/>
          <w:sz w:val="36"/>
          <w:szCs w:val="36"/>
        </w:rPr>
        <w:t>及评价方法选择</w:t>
      </w:r>
      <w:bookmarkEnd w:id="76"/>
      <w:bookmarkEnd w:id="77"/>
      <w:bookmarkEnd w:id="78"/>
      <w:bookmarkEnd w:id="79"/>
      <w:bookmarkEnd w:id="80"/>
    </w:p>
    <w:p>
      <w:pPr>
        <w:pStyle w:val="4"/>
        <w:adjustRightInd w:val="0"/>
        <w:snapToGrid w:val="0"/>
        <w:spacing w:before="0" w:after="0" w:line="360" w:lineRule="auto"/>
        <w:rPr>
          <w:rFonts w:ascii="Times New Roman" w:hAnsi="Times New Roman"/>
          <w:b w:val="0"/>
          <w:bCs/>
          <w:szCs w:val="32"/>
        </w:rPr>
      </w:pPr>
      <w:bookmarkStart w:id="82" w:name="_Toc298756207"/>
      <w:bookmarkStart w:id="83" w:name="_Toc244964632"/>
      <w:bookmarkStart w:id="84" w:name="_Toc291144374"/>
      <w:bookmarkStart w:id="85" w:name="_Toc215277174"/>
      <w:bookmarkStart w:id="86" w:name="_Toc4852"/>
      <w:r>
        <w:rPr>
          <w:rFonts w:hint="eastAsia" w:ascii="Times New Roman" w:hAnsi="Times New Roman"/>
          <w:b w:val="0"/>
          <w:bCs/>
          <w:szCs w:val="32"/>
        </w:rPr>
        <w:t>4.1</w:t>
      </w:r>
      <w:r>
        <w:rPr>
          <w:rFonts w:ascii="Times New Roman" w:hAnsi="Times New Roman"/>
          <w:b w:val="0"/>
          <w:bCs/>
          <w:szCs w:val="32"/>
        </w:rPr>
        <w:t xml:space="preserve"> </w:t>
      </w:r>
      <w:r>
        <w:rPr>
          <w:rFonts w:hint="eastAsia" w:ascii="Times New Roman" w:hAnsi="Times New Roman"/>
          <w:b w:val="0"/>
          <w:bCs/>
          <w:szCs w:val="32"/>
        </w:rPr>
        <w:t>评价单元划分</w:t>
      </w:r>
      <w:bookmarkEnd w:id="82"/>
      <w:bookmarkEnd w:id="83"/>
      <w:bookmarkEnd w:id="84"/>
      <w:bookmarkEnd w:id="85"/>
      <w:bookmarkEnd w:id="86"/>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4.1.1</w:t>
      </w:r>
      <w:r>
        <w:rPr>
          <w:rFonts w:eastAsia="黑体"/>
          <w:b w:val="0"/>
          <w:snapToGrid w:val="0"/>
          <w:kern w:val="0"/>
          <w:sz w:val="28"/>
          <w:szCs w:val="28"/>
        </w:rPr>
        <w:t xml:space="preserve"> </w:t>
      </w:r>
      <w:r>
        <w:rPr>
          <w:rFonts w:hint="eastAsia" w:eastAsia="黑体"/>
          <w:b w:val="0"/>
          <w:snapToGrid w:val="0"/>
          <w:kern w:val="0"/>
          <w:sz w:val="28"/>
          <w:szCs w:val="28"/>
        </w:rPr>
        <w:t>划分原则</w:t>
      </w:r>
    </w:p>
    <w:p>
      <w:pPr>
        <w:adjustRightInd w:val="0"/>
        <w:snapToGrid w:val="0"/>
        <w:spacing w:line="360" w:lineRule="auto"/>
        <w:ind w:firstLine="560" w:firstLineChars="200"/>
        <w:rPr>
          <w:snapToGrid w:val="0"/>
          <w:kern w:val="0"/>
          <w:sz w:val="28"/>
        </w:rPr>
      </w:pPr>
      <w:r>
        <w:rPr>
          <w:rFonts w:hint="eastAsia"/>
          <w:snapToGrid w:val="0"/>
          <w:kern w:val="0"/>
          <w:sz w:val="28"/>
        </w:rPr>
        <w:t>评价单元是指在对工程危险、有害因素进行分析的基础上，根据评价目标和评价方法的需要，将整个系统划分成若干个有限的确定范围而分别进行评价的相对独立的装置、设施和场所。</w:t>
      </w:r>
    </w:p>
    <w:p>
      <w:pPr>
        <w:adjustRightInd w:val="0"/>
        <w:snapToGrid w:val="0"/>
        <w:spacing w:line="360" w:lineRule="auto"/>
        <w:ind w:firstLine="560" w:firstLineChars="200"/>
        <w:rPr>
          <w:snapToGrid w:val="0"/>
          <w:kern w:val="0"/>
          <w:sz w:val="28"/>
        </w:rPr>
      </w:pPr>
      <w:r>
        <w:rPr>
          <w:rFonts w:hint="eastAsia"/>
          <w:snapToGrid w:val="0"/>
          <w:kern w:val="0"/>
          <w:sz w:val="28"/>
        </w:rPr>
        <w:t>划分评价单元的一般性原则是按生产工艺功能、生产设施设备相对独立空间、危险有害因素类别及事故范围划分评价单元，使评价单元相对独立，具有明显特征界限。</w:t>
      </w:r>
    </w:p>
    <w:p>
      <w:pPr>
        <w:adjustRightInd w:val="0"/>
        <w:snapToGrid w:val="0"/>
        <w:spacing w:line="360" w:lineRule="auto"/>
        <w:ind w:firstLine="560" w:firstLineChars="200"/>
        <w:rPr>
          <w:rFonts w:hint="eastAsia" w:eastAsia="宋体"/>
          <w:snapToGrid w:val="0"/>
          <w:kern w:val="0"/>
          <w:sz w:val="28"/>
          <w:lang w:eastAsia="zh-CN"/>
        </w:rPr>
      </w:pPr>
      <w:r>
        <w:rPr>
          <w:rFonts w:hint="eastAsia"/>
          <w:snapToGrid w:val="0"/>
          <w:kern w:val="0"/>
          <w:sz w:val="28"/>
        </w:rPr>
        <w:t>常用的评价单元的划分原则有</w:t>
      </w:r>
      <w:r>
        <w:rPr>
          <w:rFonts w:hint="eastAsia"/>
          <w:snapToGrid w:val="0"/>
          <w:kern w:val="0"/>
          <w:sz w:val="28"/>
          <w:lang w:eastAsia="zh-CN"/>
        </w:rPr>
        <w:t>：</w:t>
      </w:r>
    </w:p>
    <w:p>
      <w:pPr>
        <w:adjustRightInd w:val="0"/>
        <w:snapToGrid w:val="0"/>
        <w:spacing w:line="360" w:lineRule="auto"/>
        <w:ind w:firstLine="560" w:firstLineChars="200"/>
        <w:rPr>
          <w:snapToGrid w:val="0"/>
          <w:kern w:val="0"/>
          <w:sz w:val="28"/>
        </w:rPr>
      </w:pPr>
      <w:r>
        <w:rPr>
          <w:rFonts w:hint="eastAsia"/>
          <w:snapToGrid w:val="0"/>
          <w:kern w:val="0"/>
          <w:sz w:val="28"/>
        </w:rPr>
        <w:t>1、以危险、有害因素的类别为主划分；</w:t>
      </w:r>
    </w:p>
    <w:p>
      <w:pPr>
        <w:adjustRightInd w:val="0"/>
        <w:snapToGrid w:val="0"/>
        <w:spacing w:line="360" w:lineRule="auto"/>
        <w:ind w:firstLine="560" w:firstLineChars="200"/>
        <w:rPr>
          <w:snapToGrid w:val="0"/>
          <w:kern w:val="0"/>
          <w:sz w:val="28"/>
        </w:rPr>
      </w:pPr>
      <w:r>
        <w:rPr>
          <w:rFonts w:hint="eastAsia"/>
          <w:snapToGrid w:val="0"/>
          <w:kern w:val="0"/>
          <w:sz w:val="28"/>
        </w:rPr>
        <w:t>2、以装置和物质的特性划分。</w:t>
      </w:r>
    </w:p>
    <w:p>
      <w:pPr>
        <w:adjustRightInd w:val="0"/>
        <w:snapToGrid w:val="0"/>
        <w:spacing w:line="360" w:lineRule="auto"/>
        <w:ind w:firstLine="560" w:firstLineChars="200"/>
        <w:rPr>
          <w:snapToGrid w:val="0"/>
          <w:kern w:val="0"/>
          <w:sz w:val="28"/>
        </w:rPr>
      </w:pPr>
      <w:r>
        <w:rPr>
          <w:rFonts w:hint="eastAsia"/>
          <w:snapToGrid w:val="0"/>
          <w:kern w:val="0"/>
          <w:sz w:val="28"/>
        </w:rPr>
        <w:t>通过对</w:t>
      </w:r>
      <w:r>
        <w:rPr>
          <w:rFonts w:hint="eastAsia"/>
          <w:snapToGrid w:val="0"/>
          <w:kern w:val="0"/>
          <w:sz w:val="28"/>
          <w:lang w:eastAsia="zh-CN"/>
        </w:rPr>
        <w:t>斯伦贝谢油田技术（山东）有限公司</w:t>
      </w:r>
      <w:r>
        <w:rPr>
          <w:rFonts w:hint="eastAsia"/>
          <w:snapToGrid w:val="0"/>
          <w:kern w:val="0"/>
          <w:sz w:val="28"/>
        </w:rPr>
        <w:t>生产过程中的危险、有害因素分析，结合本工程的特点和具体情况，本次评价按工艺流程，兼顾危险、有害因素的相似特性等进行评价单元的划分。</w:t>
      </w:r>
    </w:p>
    <w:p>
      <w:pPr>
        <w:pStyle w:val="6"/>
        <w:adjustRightInd w:val="0"/>
        <w:snapToGrid w:val="0"/>
        <w:spacing w:before="0" w:after="0" w:line="360" w:lineRule="auto"/>
        <w:rPr>
          <w:rFonts w:eastAsia="黑体"/>
          <w:b w:val="0"/>
          <w:snapToGrid w:val="0"/>
          <w:kern w:val="0"/>
          <w:sz w:val="28"/>
          <w:szCs w:val="28"/>
        </w:rPr>
      </w:pPr>
      <w:r>
        <w:rPr>
          <w:rFonts w:hint="eastAsia" w:eastAsia="黑体"/>
          <w:b w:val="0"/>
          <w:snapToGrid w:val="0"/>
          <w:kern w:val="0"/>
          <w:sz w:val="28"/>
          <w:szCs w:val="28"/>
        </w:rPr>
        <w:t>4.1.2</w:t>
      </w:r>
      <w:r>
        <w:rPr>
          <w:rFonts w:eastAsia="黑体"/>
          <w:b w:val="0"/>
          <w:snapToGrid w:val="0"/>
          <w:kern w:val="0"/>
          <w:sz w:val="28"/>
          <w:szCs w:val="28"/>
        </w:rPr>
        <w:t xml:space="preserve"> </w:t>
      </w:r>
      <w:r>
        <w:rPr>
          <w:rFonts w:hint="eastAsia" w:eastAsia="黑体"/>
          <w:b w:val="0"/>
          <w:snapToGrid w:val="0"/>
          <w:kern w:val="0"/>
          <w:sz w:val="28"/>
          <w:szCs w:val="28"/>
        </w:rPr>
        <w:t>划分评价单元</w:t>
      </w:r>
    </w:p>
    <w:p>
      <w:pPr>
        <w:adjustRightInd w:val="0"/>
        <w:snapToGrid w:val="0"/>
        <w:spacing w:line="360" w:lineRule="auto"/>
        <w:ind w:firstLine="560" w:firstLineChars="200"/>
        <w:rPr>
          <w:rFonts w:hint="eastAsia" w:eastAsia="宋体"/>
          <w:snapToGrid w:val="0"/>
          <w:kern w:val="0"/>
          <w:sz w:val="28"/>
          <w:lang w:eastAsia="zh-CN"/>
        </w:rPr>
      </w:pPr>
      <w:r>
        <w:rPr>
          <w:rFonts w:hint="eastAsia"/>
          <w:snapToGrid w:val="0"/>
          <w:kern w:val="0"/>
          <w:sz w:val="28"/>
        </w:rPr>
        <w:t>根据</w:t>
      </w:r>
      <w:r>
        <w:rPr>
          <w:rFonts w:hint="eastAsia"/>
          <w:snapToGrid w:val="0"/>
          <w:kern w:val="0"/>
          <w:sz w:val="28"/>
          <w:lang w:eastAsia="zh-CN"/>
        </w:rPr>
        <w:t>斯伦贝谢油田技术（山东）有限公司</w:t>
      </w:r>
      <w:r>
        <w:rPr>
          <w:rFonts w:hint="eastAsia"/>
          <w:snapToGrid w:val="0"/>
          <w:kern w:val="0"/>
          <w:sz w:val="28"/>
        </w:rPr>
        <w:t>的实际情况和安全现状评价的需要，本次评价划分为以下2个评价单元进行评价</w:t>
      </w:r>
      <w:r>
        <w:rPr>
          <w:rFonts w:hint="eastAsia"/>
          <w:snapToGrid w:val="0"/>
          <w:kern w:val="0"/>
          <w:sz w:val="28"/>
          <w:lang w:eastAsia="zh-CN"/>
        </w:rPr>
        <w:t>：</w:t>
      </w:r>
    </w:p>
    <w:p>
      <w:pPr>
        <w:adjustRightInd w:val="0"/>
        <w:snapToGrid w:val="0"/>
        <w:spacing w:line="360" w:lineRule="auto"/>
        <w:ind w:firstLine="560" w:firstLineChars="200"/>
        <w:rPr>
          <w:snapToGrid w:val="0"/>
          <w:kern w:val="0"/>
          <w:sz w:val="28"/>
        </w:rPr>
      </w:pPr>
      <w:r>
        <w:rPr>
          <w:rFonts w:hint="eastAsia"/>
          <w:snapToGrid w:val="0"/>
          <w:kern w:val="0"/>
          <w:sz w:val="28"/>
        </w:rPr>
        <w:t>1、生产单元（主要针对</w:t>
      </w:r>
      <w:r>
        <w:rPr>
          <w:rFonts w:hint="eastAsia"/>
          <w:snapToGrid w:val="0"/>
          <w:kern w:val="0"/>
          <w:sz w:val="28"/>
          <w:lang w:eastAsia="zh-CN"/>
        </w:rPr>
        <w:t>斯伦贝谢油田技术（山东）有限公司</w:t>
      </w:r>
      <w:r>
        <w:rPr>
          <w:rFonts w:hint="eastAsia"/>
          <w:snapToGrid w:val="0"/>
          <w:kern w:val="0"/>
          <w:sz w:val="28"/>
        </w:rPr>
        <w:t>钻井（</w:t>
      </w:r>
      <w:r>
        <w:rPr>
          <w:rFonts w:hint="eastAsia"/>
          <w:snapToGrid w:val="0"/>
          <w:kern w:val="0"/>
          <w:sz w:val="28"/>
          <w:lang w:eastAsia="zh-CN"/>
        </w:rPr>
        <w:t>定向施工</w:t>
      </w:r>
      <w:r>
        <w:rPr>
          <w:rFonts w:hint="eastAsia"/>
          <w:snapToGrid w:val="0"/>
          <w:kern w:val="0"/>
          <w:sz w:val="28"/>
        </w:rPr>
        <w:t>）所用主要设备、设施；生产作业场所的内、外部安全生产条件进行评价）。</w:t>
      </w:r>
    </w:p>
    <w:p>
      <w:pPr>
        <w:adjustRightInd w:val="0"/>
        <w:snapToGrid w:val="0"/>
        <w:spacing w:line="360" w:lineRule="auto"/>
        <w:ind w:firstLine="560" w:firstLineChars="200"/>
        <w:rPr>
          <w:snapToGrid w:val="0"/>
          <w:kern w:val="0"/>
          <w:sz w:val="28"/>
        </w:rPr>
      </w:pPr>
      <w:r>
        <w:rPr>
          <w:rFonts w:hint="eastAsia"/>
          <w:snapToGrid w:val="0"/>
          <w:kern w:val="0"/>
          <w:sz w:val="28"/>
        </w:rPr>
        <w:t>2、安全管理单元（主要针对</w:t>
      </w:r>
      <w:r>
        <w:rPr>
          <w:rFonts w:hint="eastAsia"/>
          <w:snapToGrid w:val="0"/>
          <w:kern w:val="0"/>
          <w:sz w:val="28"/>
          <w:lang w:eastAsia="zh-CN"/>
        </w:rPr>
        <w:t>斯伦贝谢油田技术（山东）有限公司</w:t>
      </w:r>
      <w:r>
        <w:rPr>
          <w:rFonts w:hint="eastAsia"/>
          <w:snapToGrid w:val="0"/>
          <w:kern w:val="0"/>
          <w:sz w:val="28"/>
        </w:rPr>
        <w:t>在安全管理方面的各项安全生产条件进行评价）。</w:t>
      </w:r>
    </w:p>
    <w:p>
      <w:pPr>
        <w:pStyle w:val="4"/>
        <w:adjustRightInd w:val="0"/>
        <w:snapToGrid w:val="0"/>
        <w:spacing w:before="0" w:after="0" w:line="360" w:lineRule="auto"/>
        <w:rPr>
          <w:rFonts w:ascii="Times New Roman" w:hAnsi="Times New Roman"/>
          <w:b w:val="0"/>
          <w:bCs/>
          <w:szCs w:val="32"/>
        </w:rPr>
      </w:pPr>
      <w:bookmarkStart w:id="87" w:name="_Toc291144375"/>
      <w:bookmarkStart w:id="88" w:name="_Toc244964633"/>
      <w:bookmarkStart w:id="89" w:name="_Toc298756208"/>
      <w:bookmarkStart w:id="90" w:name="_Toc215277175"/>
      <w:bookmarkStart w:id="91" w:name="_Toc16187"/>
      <w:r>
        <w:rPr>
          <w:rFonts w:hint="eastAsia" w:ascii="Times New Roman" w:hAnsi="Times New Roman"/>
          <w:b w:val="0"/>
          <w:bCs/>
          <w:szCs w:val="32"/>
        </w:rPr>
        <w:t>4.2</w:t>
      </w:r>
      <w:r>
        <w:rPr>
          <w:rFonts w:ascii="Times New Roman" w:hAnsi="Times New Roman"/>
          <w:b w:val="0"/>
          <w:bCs/>
          <w:szCs w:val="32"/>
        </w:rPr>
        <w:t xml:space="preserve"> </w:t>
      </w:r>
      <w:r>
        <w:rPr>
          <w:rFonts w:hint="eastAsia" w:ascii="Times New Roman" w:hAnsi="Times New Roman"/>
          <w:b w:val="0"/>
          <w:bCs/>
          <w:szCs w:val="32"/>
        </w:rPr>
        <w:t>评价方法选择</w:t>
      </w:r>
      <w:bookmarkEnd w:id="87"/>
      <w:bookmarkEnd w:id="88"/>
      <w:bookmarkEnd w:id="89"/>
      <w:bookmarkEnd w:id="90"/>
      <w:bookmarkEnd w:id="91"/>
    </w:p>
    <w:p>
      <w:pPr>
        <w:adjustRightInd w:val="0"/>
        <w:snapToGrid w:val="0"/>
        <w:spacing w:line="360" w:lineRule="auto"/>
        <w:ind w:firstLine="560" w:firstLineChars="200"/>
        <w:rPr>
          <w:rFonts w:hint="eastAsia" w:eastAsia="宋体"/>
          <w:snapToGrid w:val="0"/>
          <w:kern w:val="0"/>
          <w:sz w:val="28"/>
          <w:lang w:eastAsia="zh-CN"/>
        </w:rPr>
      </w:pPr>
      <w:r>
        <w:rPr>
          <w:rFonts w:hint="eastAsia"/>
          <w:sz w:val="28"/>
        </w:rPr>
        <w:t>根据《安全生产许可证条例》（国务院令[2004]第397号，2014修订版）、《非煤矿矿山企业安全生产许可证实施办法》（国家安全生产监督管理总局令[2009]第20号，2015修订版）的要求，</w:t>
      </w:r>
      <w:r>
        <w:rPr>
          <w:snapToGrid w:val="0"/>
          <w:kern w:val="0"/>
          <w:sz w:val="28"/>
        </w:rPr>
        <w:t>本次评价选择以下</w:t>
      </w:r>
      <w:r>
        <w:rPr>
          <w:rFonts w:hint="eastAsia"/>
          <w:snapToGrid w:val="0"/>
          <w:kern w:val="0"/>
          <w:sz w:val="28"/>
        </w:rPr>
        <w:t>安全检查表法（</w:t>
      </w:r>
      <w:r>
        <w:rPr>
          <w:rFonts w:hint="eastAsia"/>
          <w:snapToGrid w:val="0"/>
          <w:color w:val="auto"/>
          <w:kern w:val="0"/>
          <w:sz w:val="28"/>
        </w:rPr>
        <w:t>SCL）</w:t>
      </w:r>
      <w:r>
        <w:rPr>
          <w:rFonts w:hint="eastAsia"/>
          <w:snapToGrid w:val="0"/>
          <w:color w:val="auto"/>
          <w:kern w:val="0"/>
          <w:sz w:val="28"/>
          <w:lang w:eastAsia="zh-CN"/>
        </w:rPr>
        <w:t>、</w:t>
      </w:r>
      <w:r>
        <w:rPr>
          <w:rFonts w:hint="eastAsia"/>
          <w:snapToGrid w:val="0"/>
          <w:color w:val="auto"/>
          <w:kern w:val="0"/>
          <w:sz w:val="28"/>
          <w:lang w:val="en-US" w:eastAsia="zh-CN"/>
        </w:rPr>
        <w:t>预先危险性分析（PHA）和</w:t>
      </w:r>
      <w:r>
        <w:rPr>
          <w:rFonts w:hint="eastAsia" w:cs="Times New Roman"/>
          <w:smallCaps w:val="0"/>
          <w:color w:val="auto"/>
          <w:sz w:val="28"/>
          <w:szCs w:val="28"/>
          <w:lang w:val="en-US" w:eastAsia="zh-CN"/>
        </w:rPr>
        <w:t>作业条件危险性评价法（LEC）</w:t>
      </w:r>
      <w:r>
        <w:rPr>
          <w:sz w:val="28"/>
        </w:rPr>
        <w:t>对该公司的各项安全生产条件进行评价</w:t>
      </w:r>
      <w:r>
        <w:rPr>
          <w:snapToGrid w:val="0"/>
          <w:kern w:val="0"/>
          <w:sz w:val="28"/>
        </w:rPr>
        <w:t>。各评价方法的具体操作程序如下表</w:t>
      </w:r>
      <w:r>
        <w:rPr>
          <w:rFonts w:hint="eastAsia"/>
          <w:snapToGrid w:val="0"/>
          <w:kern w:val="0"/>
          <w:sz w:val="28"/>
          <w:lang w:eastAsia="zh-CN"/>
        </w:rPr>
        <w:t>：</w:t>
      </w:r>
    </w:p>
    <w:p>
      <w:pPr>
        <w:adjustRightInd w:val="0"/>
        <w:snapToGrid w:val="0"/>
        <w:spacing w:line="360" w:lineRule="auto"/>
        <w:ind w:firstLine="360" w:firstLineChars="150"/>
        <w:jc w:val="center"/>
        <w:rPr>
          <w:b/>
          <w:bCs/>
          <w:snapToGrid w:val="0"/>
          <w:kern w:val="0"/>
          <w:sz w:val="24"/>
          <w:szCs w:val="24"/>
        </w:rPr>
      </w:pPr>
      <w:r>
        <w:rPr>
          <w:b/>
          <w:bCs/>
          <w:snapToGrid w:val="0"/>
          <w:kern w:val="0"/>
          <w:sz w:val="24"/>
          <w:szCs w:val="24"/>
        </w:rPr>
        <w:t>表4</w:t>
      </w:r>
      <w:r>
        <w:rPr>
          <w:rFonts w:hint="eastAsia"/>
          <w:b/>
          <w:bCs/>
          <w:snapToGrid w:val="0"/>
          <w:kern w:val="0"/>
          <w:sz w:val="24"/>
          <w:szCs w:val="24"/>
          <w:lang w:val="en-US" w:eastAsia="zh-CN"/>
        </w:rPr>
        <w:t>.2</w:t>
      </w:r>
      <w:r>
        <w:rPr>
          <w:b/>
          <w:bCs/>
          <w:snapToGrid w:val="0"/>
          <w:kern w:val="0"/>
          <w:sz w:val="24"/>
          <w:szCs w:val="24"/>
        </w:rPr>
        <w:t>-1 各单元评价方法表</w:t>
      </w:r>
    </w:p>
    <w:tbl>
      <w:tblPr>
        <w:tblStyle w:val="5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0"/>
        <w:gridCol w:w="4762"/>
        <w:gridCol w:w="27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30" w:type="dxa"/>
            <w:tcBorders>
              <w:top w:val="single" w:color="auto" w:sz="12" w:space="0"/>
              <w:left w:val="single" w:color="auto" w:sz="12" w:space="0"/>
              <w:bottom w:val="single" w:color="auto" w:sz="6" w:space="0"/>
              <w:right w:val="single" w:color="auto" w:sz="6"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序号</w:t>
            </w:r>
          </w:p>
        </w:tc>
        <w:tc>
          <w:tcPr>
            <w:tcW w:w="4762" w:type="dxa"/>
            <w:tcBorders>
              <w:top w:val="single" w:color="auto" w:sz="12" w:space="0"/>
              <w:left w:val="single" w:color="auto" w:sz="6" w:space="0"/>
              <w:bottom w:val="single" w:color="auto" w:sz="6" w:space="0"/>
              <w:right w:val="single" w:color="auto" w:sz="6"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评价单元</w:t>
            </w:r>
          </w:p>
        </w:tc>
        <w:tc>
          <w:tcPr>
            <w:tcW w:w="2730" w:type="dxa"/>
            <w:tcBorders>
              <w:top w:val="single" w:color="auto" w:sz="12" w:space="0"/>
              <w:left w:val="single" w:color="auto" w:sz="6" w:space="0"/>
              <w:bottom w:val="single" w:color="auto" w:sz="6" w:space="0"/>
              <w:right w:val="single" w:color="auto" w:sz="12"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b/>
                <w:szCs w:val="21"/>
              </w:rPr>
            </w:pPr>
            <w:r>
              <w:rPr>
                <w:rFonts w:hint="default"/>
                <w:b/>
                <w:szCs w:val="21"/>
              </w:rPr>
              <w:t>选用的评价方法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30" w:type="dxa"/>
            <w:tcBorders>
              <w:top w:val="single" w:color="auto" w:sz="6" w:space="0"/>
              <w:left w:val="single" w:color="auto" w:sz="12" w:space="0"/>
              <w:bottom w:val="single" w:color="auto" w:sz="6" w:space="0"/>
              <w:right w:val="single" w:color="auto" w:sz="6"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1</w:t>
            </w:r>
          </w:p>
        </w:tc>
        <w:tc>
          <w:tcPr>
            <w:tcW w:w="4762" w:type="dxa"/>
            <w:tcBorders>
              <w:top w:val="single" w:color="auto" w:sz="6" w:space="0"/>
              <w:left w:val="single" w:color="auto" w:sz="6" w:space="0"/>
              <w:bottom w:val="single" w:color="auto" w:sz="6" w:space="0"/>
              <w:right w:val="single" w:color="auto" w:sz="6"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生产单元</w:t>
            </w:r>
          </w:p>
        </w:tc>
        <w:tc>
          <w:tcPr>
            <w:tcW w:w="2730" w:type="dxa"/>
            <w:tcBorders>
              <w:top w:val="single" w:color="auto" w:sz="6" w:space="0"/>
              <w:left w:val="single" w:color="auto" w:sz="6" w:space="0"/>
              <w:bottom w:val="single" w:color="auto" w:sz="6" w:space="0"/>
              <w:right w:val="single" w:color="auto" w:sz="12"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eastAsia="宋体"/>
                <w:szCs w:val="21"/>
                <w:lang w:val="en-US" w:eastAsia="zh-CN"/>
              </w:rPr>
            </w:pPr>
            <w:r>
              <w:rPr>
                <w:rFonts w:hint="default"/>
                <w:szCs w:val="21"/>
              </w:rPr>
              <w:t>SCL</w:t>
            </w:r>
            <w:r>
              <w:rPr>
                <w:rFonts w:hint="eastAsia"/>
                <w:szCs w:val="21"/>
                <w:lang w:eastAsia="zh-CN"/>
              </w:rPr>
              <w:t>、</w:t>
            </w:r>
            <w:r>
              <w:rPr>
                <w:rFonts w:hint="eastAsia"/>
                <w:szCs w:val="21"/>
                <w:lang w:val="en-US" w:eastAsia="zh-CN"/>
              </w:rPr>
              <w:t>PHA、LEC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030" w:type="dxa"/>
            <w:tcBorders>
              <w:top w:val="single" w:color="auto" w:sz="6" w:space="0"/>
              <w:left w:val="single" w:color="auto" w:sz="12" w:space="0"/>
              <w:bottom w:val="single" w:color="auto" w:sz="12" w:space="0"/>
              <w:right w:val="single" w:color="auto" w:sz="6"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2</w:t>
            </w:r>
          </w:p>
        </w:tc>
        <w:tc>
          <w:tcPr>
            <w:tcW w:w="4762" w:type="dxa"/>
            <w:tcBorders>
              <w:top w:val="single" w:color="auto" w:sz="6" w:space="0"/>
              <w:left w:val="single" w:color="auto" w:sz="6" w:space="0"/>
              <w:bottom w:val="single" w:color="auto" w:sz="12" w:space="0"/>
              <w:right w:val="single" w:color="auto" w:sz="6"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安全管理单元</w:t>
            </w:r>
          </w:p>
        </w:tc>
        <w:tc>
          <w:tcPr>
            <w:tcW w:w="2730" w:type="dxa"/>
            <w:tcBorders>
              <w:top w:val="single" w:color="auto" w:sz="6" w:space="0"/>
              <w:left w:val="single" w:color="auto" w:sz="6" w:space="0"/>
              <w:bottom w:val="single" w:color="auto" w:sz="12" w:space="0"/>
              <w:right w:val="single" w:color="auto" w:sz="12" w:space="0"/>
            </w:tcBorders>
            <w:vAlign w:val="center"/>
          </w:tcPr>
          <w:p>
            <w:pPr>
              <w:pStyle w:val="22"/>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SCL</w:t>
            </w:r>
          </w:p>
        </w:tc>
      </w:tr>
    </w:tbl>
    <w:p>
      <w:pPr>
        <w:pStyle w:val="6"/>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eastAsia="黑体"/>
          <w:b w:val="0"/>
          <w:snapToGrid w:val="0"/>
          <w:kern w:val="0"/>
          <w:sz w:val="28"/>
          <w:szCs w:val="28"/>
          <w:lang w:val="en-US" w:eastAsia="zh-CN"/>
        </w:rPr>
      </w:pPr>
      <w:r>
        <w:rPr>
          <w:rFonts w:hint="eastAsia" w:eastAsia="黑体"/>
          <w:b w:val="0"/>
          <w:snapToGrid w:val="0"/>
          <w:kern w:val="0"/>
          <w:sz w:val="28"/>
          <w:szCs w:val="28"/>
        </w:rPr>
        <w:t>4.</w:t>
      </w:r>
      <w:r>
        <w:rPr>
          <w:rFonts w:hint="eastAsia" w:eastAsia="黑体"/>
          <w:b w:val="0"/>
          <w:snapToGrid w:val="0"/>
          <w:kern w:val="0"/>
          <w:sz w:val="28"/>
          <w:szCs w:val="28"/>
          <w:lang w:val="en-US" w:eastAsia="zh-CN"/>
        </w:rPr>
        <w:t>2</w:t>
      </w:r>
      <w:r>
        <w:rPr>
          <w:rFonts w:hint="eastAsia" w:eastAsia="黑体"/>
          <w:b w:val="0"/>
          <w:snapToGrid w:val="0"/>
          <w:kern w:val="0"/>
          <w:sz w:val="28"/>
          <w:szCs w:val="28"/>
        </w:rPr>
        <w:t>.</w:t>
      </w:r>
      <w:r>
        <w:rPr>
          <w:rFonts w:hint="eastAsia" w:eastAsia="黑体"/>
          <w:b w:val="0"/>
          <w:snapToGrid w:val="0"/>
          <w:kern w:val="0"/>
          <w:sz w:val="28"/>
          <w:szCs w:val="28"/>
          <w:lang w:val="en-US" w:eastAsia="zh-CN"/>
        </w:rPr>
        <w:t>1</w:t>
      </w:r>
      <w:r>
        <w:rPr>
          <w:rFonts w:eastAsia="黑体"/>
          <w:b w:val="0"/>
          <w:snapToGrid w:val="0"/>
          <w:kern w:val="0"/>
          <w:sz w:val="28"/>
          <w:szCs w:val="28"/>
        </w:rPr>
        <w:t xml:space="preserve"> </w:t>
      </w:r>
      <w:r>
        <w:rPr>
          <w:rFonts w:hint="eastAsia" w:eastAsia="黑体"/>
          <w:b w:val="0"/>
          <w:snapToGrid w:val="0"/>
          <w:kern w:val="0"/>
          <w:sz w:val="28"/>
          <w:szCs w:val="28"/>
          <w:lang w:val="en-US" w:eastAsia="zh-CN"/>
        </w:rPr>
        <w:t>安全检查表（SCL）</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napToGrid w:val="0"/>
          <w:kern w:val="0"/>
          <w:sz w:val="28"/>
        </w:rPr>
      </w:pPr>
      <w:r>
        <w:rPr>
          <w:rFonts w:hint="eastAsia"/>
          <w:snapToGrid w:val="0"/>
          <w:kern w:val="0"/>
          <w:sz w:val="28"/>
        </w:rPr>
        <w:t>安全检查表是系统安全工程的一种最基础、最简便且广泛应用的系统危险性评价方法。安全检查表是由一些对工艺过程、机械设备和作业情况熟悉并富有安全技术、安全管理经验的人员，事先对分析对象进行详尽的分析和充分的讨论，列出检查单元和部位、检查项目、检查要求、检查结果等内容的表格（或清单），在对工程设计中与国家有关法律、法规、技术标准的符合情况做出分析和判断，发现存在的问题及潜在的危险，并据此提出安全对策措施及建议。</w:t>
      </w:r>
    </w:p>
    <w:p>
      <w:pPr>
        <w:adjustRightInd w:val="0"/>
        <w:snapToGrid w:val="0"/>
        <w:spacing w:line="360" w:lineRule="auto"/>
        <w:ind w:firstLine="560" w:firstLineChars="200"/>
        <w:rPr>
          <w:snapToGrid w:val="0"/>
          <w:kern w:val="0"/>
          <w:sz w:val="28"/>
        </w:rPr>
      </w:pPr>
      <w:r>
        <w:rPr>
          <w:rFonts w:hint="eastAsia"/>
          <w:snapToGrid w:val="0"/>
          <w:kern w:val="0"/>
          <w:sz w:val="28"/>
        </w:rPr>
        <w:t>安全检查表以下列格式列出，对于符合要求的检查内容，在检查结果栏中标以</w:t>
      </w:r>
      <w:r>
        <w:rPr>
          <w:rFonts w:hint="eastAsia"/>
          <w:snapToGrid w:val="0"/>
          <w:kern w:val="0"/>
          <w:sz w:val="28"/>
          <w:lang w:eastAsia="zh-CN"/>
        </w:rPr>
        <w:t>“</w:t>
      </w:r>
      <w:r>
        <w:rPr>
          <w:rFonts w:hint="eastAsia"/>
          <w:snapToGrid w:val="0"/>
          <w:kern w:val="0"/>
          <w:sz w:val="28"/>
        </w:rPr>
        <w:t>√</w:t>
      </w:r>
      <w:r>
        <w:rPr>
          <w:rFonts w:hint="eastAsia"/>
          <w:snapToGrid w:val="0"/>
          <w:kern w:val="0"/>
          <w:sz w:val="28"/>
          <w:lang w:eastAsia="zh-CN"/>
        </w:rPr>
        <w:t>”</w:t>
      </w:r>
      <w:r>
        <w:rPr>
          <w:rFonts w:hint="eastAsia"/>
          <w:snapToGrid w:val="0"/>
          <w:kern w:val="0"/>
          <w:sz w:val="28"/>
        </w:rPr>
        <w:t>，对于不符合要求的检查项目在检查结果栏中标以</w:t>
      </w:r>
      <w:r>
        <w:rPr>
          <w:rFonts w:hint="eastAsia"/>
          <w:snapToGrid w:val="0"/>
          <w:kern w:val="0"/>
          <w:sz w:val="28"/>
          <w:lang w:eastAsia="zh-CN"/>
        </w:rPr>
        <w:t>“</w:t>
      </w:r>
      <w:r>
        <w:rPr>
          <w:rFonts w:hint="eastAsia"/>
          <w:snapToGrid w:val="0"/>
          <w:kern w:val="0"/>
          <w:sz w:val="28"/>
        </w:rPr>
        <w:t>×</w:t>
      </w:r>
      <w:r>
        <w:rPr>
          <w:rFonts w:hint="eastAsia"/>
          <w:snapToGrid w:val="0"/>
          <w:kern w:val="0"/>
          <w:sz w:val="28"/>
          <w:lang w:eastAsia="zh-CN"/>
        </w:rPr>
        <w:t>”</w:t>
      </w:r>
      <w:r>
        <w:rPr>
          <w:rFonts w:hint="eastAsia"/>
          <w:snapToGrid w:val="0"/>
          <w:kern w:val="0"/>
          <w:sz w:val="28"/>
        </w:rPr>
        <w:t>。见下表4</w:t>
      </w:r>
      <w:r>
        <w:rPr>
          <w:rFonts w:hint="eastAsia"/>
          <w:snapToGrid w:val="0"/>
          <w:kern w:val="0"/>
          <w:sz w:val="28"/>
          <w:lang w:val="en-US" w:eastAsia="zh-CN"/>
        </w:rPr>
        <w:t>.2</w:t>
      </w:r>
      <w:r>
        <w:rPr>
          <w:rFonts w:hint="eastAsia"/>
          <w:snapToGrid w:val="0"/>
          <w:kern w:val="0"/>
          <w:sz w:val="28"/>
        </w:rPr>
        <w:t>-</w:t>
      </w:r>
      <w:r>
        <w:rPr>
          <w:snapToGrid w:val="0"/>
          <w:kern w:val="0"/>
          <w:sz w:val="28"/>
        </w:rPr>
        <w:t>2</w:t>
      </w:r>
      <w:r>
        <w:rPr>
          <w:rFonts w:hint="eastAsia"/>
          <w:snapToGrid w:val="0"/>
          <w:kern w:val="0"/>
          <w:sz w:val="28"/>
        </w:rPr>
        <w:t>。</w:t>
      </w:r>
    </w:p>
    <w:p>
      <w:pPr>
        <w:adjustRightInd w:val="0"/>
        <w:snapToGrid w:val="0"/>
        <w:spacing w:line="360" w:lineRule="auto"/>
        <w:jc w:val="center"/>
        <w:rPr>
          <w:b/>
          <w:bCs w:val="0"/>
          <w:snapToGrid w:val="0"/>
          <w:kern w:val="0"/>
          <w:sz w:val="24"/>
        </w:rPr>
      </w:pPr>
      <w:r>
        <w:rPr>
          <w:rFonts w:hint="eastAsia"/>
          <w:b/>
          <w:bCs w:val="0"/>
          <w:snapToGrid w:val="0"/>
          <w:kern w:val="0"/>
          <w:sz w:val="24"/>
        </w:rPr>
        <w:t>表4</w:t>
      </w:r>
      <w:r>
        <w:rPr>
          <w:rFonts w:hint="eastAsia"/>
          <w:b/>
          <w:bCs w:val="0"/>
          <w:snapToGrid w:val="0"/>
          <w:kern w:val="0"/>
          <w:sz w:val="24"/>
          <w:lang w:val="en-US" w:eastAsia="zh-CN"/>
        </w:rPr>
        <w:t>.2</w:t>
      </w:r>
      <w:r>
        <w:rPr>
          <w:rFonts w:hint="eastAsia"/>
          <w:b/>
          <w:bCs w:val="0"/>
          <w:snapToGrid w:val="0"/>
          <w:kern w:val="0"/>
          <w:sz w:val="24"/>
        </w:rPr>
        <w:t>-</w:t>
      </w:r>
      <w:r>
        <w:rPr>
          <w:b/>
          <w:bCs w:val="0"/>
          <w:snapToGrid w:val="0"/>
          <w:kern w:val="0"/>
          <w:sz w:val="24"/>
        </w:rPr>
        <w:t xml:space="preserve">2 </w:t>
      </w:r>
      <w:r>
        <w:rPr>
          <w:rFonts w:hint="eastAsia"/>
          <w:b/>
          <w:bCs w:val="0"/>
          <w:snapToGrid w:val="0"/>
          <w:kern w:val="0"/>
          <w:sz w:val="24"/>
        </w:rPr>
        <w:t>安全检查表</w:t>
      </w:r>
    </w:p>
    <w:tbl>
      <w:tblPr>
        <w:tblStyle w:val="5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4"/>
        <w:gridCol w:w="1852"/>
        <w:gridCol w:w="1852"/>
        <w:gridCol w:w="1852"/>
        <w:gridCol w:w="18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1114" w:type="dxa"/>
            <w:vAlign w:val="center"/>
          </w:tcPr>
          <w:p>
            <w:pPr>
              <w:keepNext w:val="0"/>
              <w:keepLines w:val="0"/>
              <w:suppressLineNumbers w:val="0"/>
              <w:adjustRightInd w:val="0"/>
              <w:snapToGrid w:val="0"/>
              <w:spacing w:before="0" w:beforeAutospacing="0" w:after="0" w:afterAutospacing="0"/>
              <w:ind w:left="0" w:right="0"/>
              <w:jc w:val="center"/>
              <w:rPr>
                <w:rFonts w:hint="default" w:cs="宋体"/>
                <w:b/>
                <w:szCs w:val="21"/>
              </w:rPr>
            </w:pPr>
            <w:r>
              <w:rPr>
                <w:rFonts w:hint="eastAsia" w:cs="宋体"/>
                <w:b/>
                <w:szCs w:val="21"/>
              </w:rPr>
              <w:t>序号</w:t>
            </w:r>
          </w:p>
        </w:tc>
        <w:tc>
          <w:tcPr>
            <w:tcW w:w="1852" w:type="dxa"/>
            <w:vAlign w:val="center"/>
          </w:tcPr>
          <w:p>
            <w:pPr>
              <w:keepNext w:val="0"/>
              <w:keepLines w:val="0"/>
              <w:suppressLineNumbers w:val="0"/>
              <w:adjustRightInd w:val="0"/>
              <w:snapToGrid w:val="0"/>
              <w:spacing w:before="0" w:beforeAutospacing="0" w:after="0" w:afterAutospacing="0"/>
              <w:ind w:left="0" w:right="0"/>
              <w:jc w:val="center"/>
              <w:rPr>
                <w:rFonts w:hint="default" w:cs="宋体"/>
                <w:b/>
                <w:szCs w:val="21"/>
              </w:rPr>
            </w:pPr>
            <w:r>
              <w:rPr>
                <w:rFonts w:hint="eastAsia" w:cs="宋体"/>
                <w:b/>
                <w:szCs w:val="21"/>
              </w:rPr>
              <w:t>检查项目</w:t>
            </w:r>
          </w:p>
        </w:tc>
        <w:tc>
          <w:tcPr>
            <w:tcW w:w="1852" w:type="dxa"/>
            <w:vAlign w:val="center"/>
          </w:tcPr>
          <w:p>
            <w:pPr>
              <w:keepNext w:val="0"/>
              <w:keepLines w:val="0"/>
              <w:suppressLineNumbers w:val="0"/>
              <w:adjustRightInd w:val="0"/>
              <w:snapToGrid w:val="0"/>
              <w:spacing w:before="0" w:beforeAutospacing="0" w:after="0" w:afterAutospacing="0"/>
              <w:ind w:left="0" w:right="0"/>
              <w:jc w:val="center"/>
              <w:rPr>
                <w:rFonts w:hint="default" w:cs="宋体"/>
                <w:b/>
                <w:szCs w:val="21"/>
              </w:rPr>
            </w:pPr>
            <w:r>
              <w:rPr>
                <w:rFonts w:hint="eastAsia" w:cs="宋体"/>
                <w:b/>
                <w:szCs w:val="21"/>
              </w:rPr>
              <w:t>检查依据</w:t>
            </w:r>
          </w:p>
        </w:tc>
        <w:tc>
          <w:tcPr>
            <w:tcW w:w="1852" w:type="dxa"/>
            <w:vAlign w:val="center"/>
          </w:tcPr>
          <w:p>
            <w:pPr>
              <w:keepNext w:val="0"/>
              <w:keepLines w:val="0"/>
              <w:suppressLineNumbers w:val="0"/>
              <w:adjustRightInd w:val="0"/>
              <w:snapToGrid w:val="0"/>
              <w:spacing w:before="0" w:beforeAutospacing="0" w:after="0" w:afterAutospacing="0"/>
              <w:ind w:left="0" w:right="0"/>
              <w:jc w:val="center"/>
              <w:rPr>
                <w:rFonts w:hint="default" w:cs="宋体"/>
                <w:b/>
                <w:szCs w:val="21"/>
              </w:rPr>
            </w:pPr>
            <w:r>
              <w:rPr>
                <w:rFonts w:hint="eastAsia" w:cs="宋体"/>
                <w:b/>
                <w:szCs w:val="21"/>
              </w:rPr>
              <w:t>检查结果</w:t>
            </w:r>
          </w:p>
        </w:tc>
        <w:tc>
          <w:tcPr>
            <w:tcW w:w="1852" w:type="dxa"/>
            <w:vAlign w:val="center"/>
          </w:tcPr>
          <w:p>
            <w:pPr>
              <w:keepNext w:val="0"/>
              <w:keepLines w:val="0"/>
              <w:suppressLineNumbers w:val="0"/>
              <w:adjustRightInd w:val="0"/>
              <w:snapToGrid w:val="0"/>
              <w:spacing w:before="0" w:beforeAutospacing="0" w:after="0" w:afterAutospacing="0"/>
              <w:ind w:left="0" w:right="0"/>
              <w:jc w:val="center"/>
              <w:rPr>
                <w:rFonts w:hint="default" w:cs="宋体"/>
                <w:b/>
                <w:szCs w:val="21"/>
              </w:rPr>
            </w:pPr>
            <w:r>
              <w:rPr>
                <w:rFonts w:hint="eastAsia" w:cs="宋体"/>
                <w:b/>
                <w:szCs w:val="21"/>
              </w:rPr>
              <w:t>实际情况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1114" w:type="dxa"/>
            <w:vAlign w:val="center"/>
          </w:tcPr>
          <w:p>
            <w:pPr>
              <w:pStyle w:val="80"/>
              <w:keepNext w:val="0"/>
              <w:keepLines w:val="0"/>
              <w:suppressLineNumbers w:val="0"/>
              <w:spacing w:beforeAutospacing="0" w:afterAutospacing="0"/>
              <w:ind w:left="0" w:right="0"/>
              <w:rPr>
                <w:rFonts w:hint="default"/>
                <w:snapToGrid w:val="0"/>
              </w:rPr>
            </w:pPr>
          </w:p>
        </w:tc>
        <w:tc>
          <w:tcPr>
            <w:tcW w:w="1852" w:type="dxa"/>
            <w:vAlign w:val="center"/>
          </w:tcPr>
          <w:p>
            <w:pPr>
              <w:keepNext w:val="0"/>
              <w:keepLines w:val="0"/>
              <w:suppressLineNumbers w:val="0"/>
              <w:adjustRightInd w:val="0"/>
              <w:snapToGrid w:val="0"/>
              <w:spacing w:before="0" w:beforeAutospacing="0" w:after="0" w:afterAutospacing="0"/>
              <w:ind w:left="0" w:right="0"/>
              <w:rPr>
                <w:rFonts w:hint="default"/>
                <w:b/>
                <w:snapToGrid w:val="0"/>
                <w:kern w:val="0"/>
                <w:szCs w:val="21"/>
              </w:rPr>
            </w:pPr>
          </w:p>
        </w:tc>
        <w:tc>
          <w:tcPr>
            <w:tcW w:w="1852" w:type="dxa"/>
            <w:vAlign w:val="center"/>
          </w:tcPr>
          <w:p>
            <w:pPr>
              <w:keepNext w:val="0"/>
              <w:keepLines w:val="0"/>
              <w:suppressLineNumbers w:val="0"/>
              <w:adjustRightInd w:val="0"/>
              <w:snapToGrid w:val="0"/>
              <w:spacing w:before="0" w:beforeAutospacing="0" w:after="0" w:afterAutospacing="0"/>
              <w:ind w:left="0" w:right="0"/>
              <w:jc w:val="center"/>
              <w:rPr>
                <w:rFonts w:hint="default"/>
                <w:snapToGrid w:val="0"/>
                <w:kern w:val="0"/>
                <w:szCs w:val="21"/>
              </w:rPr>
            </w:pPr>
          </w:p>
        </w:tc>
        <w:tc>
          <w:tcPr>
            <w:tcW w:w="1852" w:type="dxa"/>
            <w:vAlign w:val="center"/>
          </w:tcPr>
          <w:p>
            <w:pPr>
              <w:keepNext w:val="0"/>
              <w:keepLines w:val="0"/>
              <w:suppressLineNumbers w:val="0"/>
              <w:adjustRightInd w:val="0"/>
              <w:snapToGrid w:val="0"/>
              <w:spacing w:before="0" w:beforeAutospacing="0" w:after="0" w:afterAutospacing="0"/>
              <w:ind w:left="0" w:right="0"/>
              <w:jc w:val="center"/>
              <w:rPr>
                <w:rFonts w:hint="default"/>
                <w:bCs/>
                <w:snapToGrid w:val="0"/>
                <w:kern w:val="0"/>
                <w:szCs w:val="21"/>
              </w:rPr>
            </w:pPr>
          </w:p>
        </w:tc>
        <w:tc>
          <w:tcPr>
            <w:tcW w:w="1852" w:type="dxa"/>
            <w:vAlign w:val="center"/>
          </w:tcPr>
          <w:p>
            <w:pPr>
              <w:pStyle w:val="80"/>
              <w:keepNext w:val="0"/>
              <w:keepLines w:val="0"/>
              <w:suppressLineNumbers w:val="0"/>
              <w:spacing w:beforeAutospacing="0" w:afterAutospacing="0"/>
              <w:ind w:left="0" w:right="0"/>
              <w:rPr>
                <w:rFonts w:hint="default"/>
                <w:snapToGrid w:val="0"/>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eastAsia="宋体"/>
          <w:sz w:val="28"/>
          <w:lang w:eastAsia="zh-CN"/>
        </w:rPr>
      </w:pPr>
      <w:r>
        <w:rPr>
          <w:rFonts w:hint="eastAsia"/>
          <w:sz w:val="28"/>
        </w:rPr>
        <w:t>安全检查表的具体操作程序如下</w:t>
      </w:r>
      <w:r>
        <w:rPr>
          <w:rFonts w:hint="eastAsia"/>
          <w:sz w:val="28"/>
          <w:lang w:eastAsia="zh-CN"/>
        </w:rPr>
        <w:t>：</w:t>
      </w:r>
    </w:p>
    <w:p>
      <w:pPr>
        <w:adjustRightInd w:val="0"/>
        <w:snapToGrid w:val="0"/>
        <w:spacing w:line="360" w:lineRule="auto"/>
        <w:ind w:firstLine="560" w:firstLineChars="200"/>
        <w:rPr>
          <w:sz w:val="28"/>
        </w:rPr>
      </w:pPr>
      <w:r>
        <w:rPr>
          <w:rFonts w:hint="eastAsia"/>
          <w:sz w:val="28"/>
        </w:rPr>
        <w:t>1、熟悉系统</w:t>
      </w:r>
    </w:p>
    <w:p>
      <w:pPr>
        <w:adjustRightInd w:val="0"/>
        <w:snapToGrid w:val="0"/>
        <w:spacing w:line="360" w:lineRule="auto"/>
        <w:ind w:firstLine="560" w:firstLineChars="200"/>
        <w:rPr>
          <w:sz w:val="28"/>
        </w:rPr>
      </w:pPr>
      <w:r>
        <w:rPr>
          <w:rFonts w:hint="eastAsia"/>
          <w:sz w:val="28"/>
        </w:rPr>
        <w:t>包括系统结构、功能、工艺流程、主要设备、操作条件、平面布置、已有的安全设施、安全管理现状等。</w:t>
      </w:r>
    </w:p>
    <w:p>
      <w:pPr>
        <w:adjustRightInd w:val="0"/>
        <w:snapToGrid w:val="0"/>
        <w:spacing w:line="360" w:lineRule="auto"/>
        <w:ind w:firstLine="560" w:firstLineChars="200"/>
        <w:rPr>
          <w:sz w:val="28"/>
        </w:rPr>
      </w:pPr>
      <w:r>
        <w:rPr>
          <w:rFonts w:hint="eastAsia"/>
          <w:sz w:val="28"/>
        </w:rPr>
        <w:t>2、搜集资料</w:t>
      </w:r>
    </w:p>
    <w:p>
      <w:pPr>
        <w:adjustRightInd w:val="0"/>
        <w:snapToGrid w:val="0"/>
        <w:spacing w:line="360" w:lineRule="auto"/>
        <w:ind w:firstLine="560" w:firstLineChars="200"/>
        <w:rPr>
          <w:sz w:val="28"/>
        </w:rPr>
      </w:pPr>
      <w:r>
        <w:rPr>
          <w:rFonts w:hint="eastAsia"/>
          <w:sz w:val="28"/>
        </w:rPr>
        <w:t>搜集有关的安全法规、标准、制度以及本系统过去发生过事故的资料，作为编制安全检查表的依据。</w:t>
      </w:r>
    </w:p>
    <w:p>
      <w:pPr>
        <w:adjustRightInd w:val="0"/>
        <w:snapToGrid w:val="0"/>
        <w:spacing w:line="360" w:lineRule="auto"/>
        <w:ind w:firstLine="560" w:firstLineChars="200"/>
        <w:rPr>
          <w:sz w:val="28"/>
        </w:rPr>
      </w:pPr>
      <w:r>
        <w:rPr>
          <w:rFonts w:hint="eastAsia"/>
          <w:sz w:val="28"/>
        </w:rPr>
        <w:t>3、划分单元</w:t>
      </w:r>
    </w:p>
    <w:p>
      <w:pPr>
        <w:adjustRightInd w:val="0"/>
        <w:snapToGrid w:val="0"/>
        <w:spacing w:line="360" w:lineRule="auto"/>
        <w:ind w:firstLine="560" w:firstLineChars="200"/>
        <w:rPr>
          <w:sz w:val="28"/>
        </w:rPr>
      </w:pPr>
      <w:r>
        <w:rPr>
          <w:rFonts w:hint="eastAsia"/>
          <w:sz w:val="28"/>
        </w:rPr>
        <w:t>按功能或结构将系统划分成子系统或单元。</w:t>
      </w:r>
    </w:p>
    <w:p>
      <w:pPr>
        <w:adjustRightInd w:val="0"/>
        <w:snapToGrid w:val="0"/>
        <w:spacing w:line="360" w:lineRule="auto"/>
        <w:ind w:firstLine="560" w:firstLineChars="200"/>
        <w:rPr>
          <w:sz w:val="28"/>
        </w:rPr>
      </w:pPr>
      <w:r>
        <w:rPr>
          <w:rFonts w:hint="eastAsia"/>
          <w:sz w:val="28"/>
        </w:rPr>
        <w:t>4、编制安全检查表</w:t>
      </w:r>
    </w:p>
    <w:p>
      <w:pPr>
        <w:adjustRightInd w:val="0"/>
        <w:snapToGrid w:val="0"/>
        <w:spacing w:line="360" w:lineRule="auto"/>
        <w:ind w:firstLine="560" w:firstLineChars="200"/>
        <w:rPr>
          <w:sz w:val="28"/>
        </w:rPr>
      </w:pPr>
      <w:r>
        <w:rPr>
          <w:rFonts w:hint="eastAsia"/>
          <w:sz w:val="28"/>
        </w:rPr>
        <w:t>针对危险因素，依据有关法规、标准规定，参考过去的事故教训和本单位的经验确定安全检查表的检查要点、内容和为达到安全指标应采取的措施，并按照一定的要求编制安全检查表。</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z w:val="28"/>
        </w:rPr>
      </w:pPr>
      <w:r>
        <w:rPr>
          <w:rFonts w:hint="eastAsia"/>
          <w:sz w:val="28"/>
        </w:rPr>
        <w:t>5、实施检查</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z w:val="28"/>
        </w:rPr>
      </w:pPr>
      <w:r>
        <w:rPr>
          <w:rFonts w:hint="eastAsia"/>
          <w:sz w:val="28"/>
        </w:rPr>
        <w:t>对照已编制完成的安全检查表，进行逐项检查，对检查项目的符合性作出判断。</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sz w:val="28"/>
        </w:rPr>
      </w:pPr>
      <w:r>
        <w:rPr>
          <w:rFonts w:hint="eastAsia"/>
          <w:sz w:val="28"/>
        </w:rPr>
        <w:t>6、评价结果汇总</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sz w:val="28"/>
        </w:rPr>
      </w:pPr>
      <w:r>
        <w:rPr>
          <w:rFonts w:hint="eastAsia"/>
          <w:sz w:val="28"/>
        </w:rPr>
        <w:t>将检查的结果汇总，并据此提出具体的安全对策措施及建议。</w:t>
      </w:r>
      <w:bookmarkEnd w:id="81"/>
    </w:p>
    <w:p>
      <w:pPr>
        <w:pStyle w:val="6"/>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default" w:eastAsia="黑体"/>
          <w:b w:val="0"/>
          <w:snapToGrid w:val="0"/>
          <w:kern w:val="0"/>
          <w:sz w:val="28"/>
          <w:szCs w:val="28"/>
          <w:lang w:val="en-US" w:eastAsia="zh-CN"/>
        </w:rPr>
      </w:pPr>
      <w:r>
        <w:rPr>
          <w:rFonts w:hint="eastAsia" w:eastAsia="黑体"/>
          <w:b w:val="0"/>
          <w:snapToGrid w:val="0"/>
          <w:kern w:val="0"/>
          <w:sz w:val="28"/>
          <w:szCs w:val="28"/>
        </w:rPr>
        <w:t>4.</w:t>
      </w:r>
      <w:r>
        <w:rPr>
          <w:rFonts w:hint="eastAsia" w:eastAsia="黑体"/>
          <w:b w:val="0"/>
          <w:snapToGrid w:val="0"/>
          <w:kern w:val="0"/>
          <w:sz w:val="28"/>
          <w:szCs w:val="28"/>
          <w:lang w:val="en-US" w:eastAsia="zh-CN"/>
        </w:rPr>
        <w:t>2</w:t>
      </w:r>
      <w:r>
        <w:rPr>
          <w:rFonts w:hint="eastAsia" w:eastAsia="黑体"/>
          <w:b w:val="0"/>
          <w:snapToGrid w:val="0"/>
          <w:kern w:val="0"/>
          <w:sz w:val="28"/>
          <w:szCs w:val="28"/>
        </w:rPr>
        <w:t>.</w:t>
      </w:r>
      <w:r>
        <w:rPr>
          <w:rFonts w:hint="eastAsia" w:eastAsia="黑体"/>
          <w:b w:val="0"/>
          <w:snapToGrid w:val="0"/>
          <w:kern w:val="0"/>
          <w:sz w:val="28"/>
          <w:szCs w:val="28"/>
          <w:lang w:val="en-US" w:eastAsia="zh-CN"/>
        </w:rPr>
        <w:t>2</w:t>
      </w:r>
      <w:r>
        <w:rPr>
          <w:rFonts w:eastAsia="黑体"/>
          <w:b w:val="0"/>
          <w:snapToGrid w:val="0"/>
          <w:kern w:val="0"/>
          <w:sz w:val="28"/>
          <w:szCs w:val="28"/>
        </w:rPr>
        <w:t xml:space="preserve"> </w:t>
      </w:r>
      <w:r>
        <w:rPr>
          <w:rFonts w:hint="eastAsia" w:eastAsia="黑体"/>
          <w:b w:val="0"/>
          <w:snapToGrid w:val="0"/>
          <w:kern w:val="0"/>
          <w:sz w:val="28"/>
          <w:szCs w:val="28"/>
          <w:lang w:val="en-US" w:eastAsia="zh-CN"/>
        </w:rPr>
        <w:t>预先危险性分析（PHA）</w:t>
      </w:r>
    </w:p>
    <w:p>
      <w:pPr>
        <w:adjustRightInd w:val="0"/>
        <w:snapToGrid w:val="0"/>
        <w:spacing w:line="360" w:lineRule="auto"/>
        <w:ind w:firstLine="560" w:firstLineChars="200"/>
        <w:rPr>
          <w:rFonts w:hint="eastAsia"/>
          <w:snapToGrid w:val="0"/>
          <w:kern w:val="0"/>
          <w:sz w:val="28"/>
          <w:szCs w:val="28"/>
        </w:rPr>
      </w:pPr>
      <w:r>
        <w:rPr>
          <w:rFonts w:hint="eastAsia"/>
          <w:snapToGrid w:val="0"/>
          <w:kern w:val="0"/>
          <w:sz w:val="28"/>
          <w:szCs w:val="28"/>
        </w:rPr>
        <w:t>预先危险性分析又称初步危险分析，主要用于对危险物质和装置的主要工艺区域等进行分析。</w:t>
      </w:r>
      <w:r>
        <w:rPr>
          <w:rFonts w:hint="eastAsia"/>
          <w:snapToGrid w:val="0"/>
          <w:kern w:val="0"/>
          <w:sz w:val="28"/>
          <w:szCs w:val="28"/>
          <w:lang w:val="en-US" w:eastAsia="zh-CN"/>
        </w:rPr>
        <w:t>对系统中存在的危险性类别、出现条件、导致事故的后果进行分析，</w:t>
      </w:r>
      <w:r>
        <w:rPr>
          <w:rFonts w:hint="eastAsia"/>
          <w:snapToGrid w:val="0"/>
          <w:kern w:val="0"/>
          <w:sz w:val="28"/>
          <w:szCs w:val="28"/>
        </w:rPr>
        <w:t>其目的是辨识系统中存在的潜在危险，确定其危险等级，防止这些危险发展成事故。</w:t>
      </w:r>
    </w:p>
    <w:p>
      <w:pPr>
        <w:adjustRightInd w:val="0"/>
        <w:snapToGrid w:val="0"/>
        <w:spacing w:line="360" w:lineRule="auto"/>
        <w:ind w:firstLine="560" w:firstLineChars="200"/>
        <w:rPr>
          <w:rFonts w:hint="eastAsia" w:eastAsia="宋体"/>
          <w:snapToGrid w:val="0"/>
          <w:kern w:val="0"/>
          <w:sz w:val="28"/>
          <w:szCs w:val="28"/>
          <w:lang w:eastAsia="zh-CN"/>
        </w:rPr>
      </w:pPr>
      <w:r>
        <w:rPr>
          <w:rFonts w:hint="eastAsia"/>
          <w:snapToGrid w:val="0"/>
          <w:kern w:val="0"/>
          <w:sz w:val="28"/>
          <w:szCs w:val="28"/>
        </w:rPr>
        <w:t>预先危险性分析步骤</w:t>
      </w:r>
      <w:r>
        <w:rPr>
          <w:rFonts w:hint="eastAsia"/>
          <w:snapToGrid w:val="0"/>
          <w:kern w:val="0"/>
          <w:sz w:val="28"/>
          <w:szCs w:val="28"/>
          <w:lang w:eastAsia="zh-CN"/>
        </w:rPr>
        <w:t>：</w:t>
      </w:r>
    </w:p>
    <w:p>
      <w:pPr>
        <w:adjustRightInd w:val="0"/>
        <w:snapToGrid w:val="0"/>
        <w:spacing w:line="360" w:lineRule="auto"/>
        <w:ind w:firstLine="560" w:firstLineChars="200"/>
        <w:rPr>
          <w:rFonts w:hint="eastAsia"/>
          <w:snapToGrid w:val="0"/>
          <w:kern w:val="0"/>
          <w:sz w:val="28"/>
          <w:szCs w:val="28"/>
        </w:rPr>
      </w:pPr>
      <w:r>
        <w:rPr>
          <w:rFonts w:hint="eastAsia"/>
          <w:snapToGrid w:val="0"/>
          <w:kern w:val="0"/>
          <w:sz w:val="28"/>
          <w:szCs w:val="28"/>
          <w:lang w:eastAsia="zh-CN"/>
        </w:rPr>
        <w:t>（</w:t>
      </w:r>
      <w:r>
        <w:rPr>
          <w:rFonts w:hint="eastAsia"/>
          <w:snapToGrid w:val="0"/>
          <w:kern w:val="0"/>
          <w:sz w:val="28"/>
          <w:szCs w:val="28"/>
        </w:rPr>
        <w:t>1）通过经验判断、技术诊断或其它方法调查确定危险源（即危险因素存在于哪个子系统中），对所需分析系统的生产目的、物料、装置及设备、工艺过程、操作条件以及周围环境等进行充分详细的调查了解。</w:t>
      </w:r>
    </w:p>
    <w:p>
      <w:pPr>
        <w:adjustRightInd w:val="0"/>
        <w:snapToGrid w:val="0"/>
        <w:spacing w:line="360" w:lineRule="auto"/>
        <w:ind w:firstLine="560" w:firstLineChars="200"/>
        <w:rPr>
          <w:rFonts w:hint="eastAsia"/>
          <w:snapToGrid w:val="0"/>
          <w:kern w:val="0"/>
          <w:sz w:val="28"/>
          <w:szCs w:val="28"/>
        </w:rPr>
      </w:pPr>
      <w:r>
        <w:rPr>
          <w:rFonts w:hint="eastAsia"/>
          <w:snapToGrid w:val="0"/>
          <w:kern w:val="0"/>
          <w:sz w:val="28"/>
          <w:szCs w:val="28"/>
          <w:lang w:eastAsia="zh-CN"/>
        </w:rPr>
        <w:t>（</w:t>
      </w:r>
      <w:r>
        <w:rPr>
          <w:rFonts w:hint="eastAsia"/>
          <w:snapToGrid w:val="0"/>
          <w:kern w:val="0"/>
          <w:sz w:val="28"/>
          <w:szCs w:val="28"/>
        </w:rPr>
        <w:t>2）根据过去的经验教训及同行业生产中发生的事故或灾害情况，对系统的影响、损坏程度，类比判断所要分析的系统中可能出现的情况，查找能够造成系统故障、物质损失和人员伤害的危险性，分析事故或灾害的可能类型。</w:t>
      </w:r>
    </w:p>
    <w:p>
      <w:pPr>
        <w:adjustRightInd w:val="0"/>
        <w:snapToGrid w:val="0"/>
        <w:spacing w:line="360" w:lineRule="auto"/>
        <w:ind w:firstLine="560" w:firstLineChars="200"/>
        <w:rPr>
          <w:rFonts w:hint="eastAsia"/>
          <w:snapToGrid w:val="0"/>
          <w:kern w:val="0"/>
          <w:sz w:val="28"/>
          <w:szCs w:val="28"/>
        </w:rPr>
      </w:pPr>
      <w:r>
        <w:rPr>
          <w:rFonts w:hint="eastAsia"/>
          <w:snapToGrid w:val="0"/>
          <w:kern w:val="0"/>
          <w:sz w:val="28"/>
          <w:szCs w:val="28"/>
          <w:lang w:eastAsia="zh-CN"/>
        </w:rPr>
        <w:t>（</w:t>
      </w:r>
      <w:r>
        <w:rPr>
          <w:rFonts w:hint="eastAsia"/>
          <w:snapToGrid w:val="0"/>
          <w:kern w:val="0"/>
          <w:sz w:val="28"/>
          <w:szCs w:val="28"/>
        </w:rPr>
        <w:t>3）对确定的危险源分类，制成预先危险性分析表。</w:t>
      </w:r>
    </w:p>
    <w:p>
      <w:pPr>
        <w:adjustRightInd w:val="0"/>
        <w:snapToGrid w:val="0"/>
        <w:spacing w:line="360" w:lineRule="auto"/>
        <w:ind w:firstLine="560" w:firstLineChars="200"/>
        <w:rPr>
          <w:rFonts w:hint="eastAsia"/>
          <w:snapToGrid w:val="0"/>
          <w:kern w:val="0"/>
          <w:sz w:val="28"/>
          <w:szCs w:val="28"/>
        </w:rPr>
      </w:pPr>
      <w:r>
        <w:rPr>
          <w:rFonts w:hint="eastAsia"/>
          <w:snapToGrid w:val="0"/>
          <w:kern w:val="0"/>
          <w:sz w:val="28"/>
          <w:szCs w:val="28"/>
          <w:lang w:eastAsia="zh-CN"/>
        </w:rPr>
        <w:t>（</w:t>
      </w:r>
      <w:r>
        <w:rPr>
          <w:rFonts w:hint="eastAsia"/>
          <w:snapToGrid w:val="0"/>
          <w:kern w:val="0"/>
          <w:sz w:val="28"/>
          <w:szCs w:val="28"/>
        </w:rPr>
        <w:t>4）识别转化条件，并进一步寻求对策措施。</w:t>
      </w:r>
    </w:p>
    <w:p>
      <w:pPr>
        <w:adjustRightInd w:val="0"/>
        <w:snapToGrid w:val="0"/>
        <w:spacing w:line="360" w:lineRule="auto"/>
        <w:ind w:firstLine="560" w:firstLineChars="200"/>
        <w:rPr>
          <w:rFonts w:hint="eastAsia"/>
          <w:snapToGrid w:val="0"/>
          <w:kern w:val="0"/>
          <w:sz w:val="28"/>
          <w:szCs w:val="28"/>
        </w:rPr>
      </w:pPr>
      <w:r>
        <w:rPr>
          <w:rFonts w:hint="eastAsia"/>
          <w:snapToGrid w:val="0"/>
          <w:kern w:val="0"/>
          <w:sz w:val="28"/>
          <w:szCs w:val="28"/>
          <w:lang w:eastAsia="zh-CN"/>
        </w:rPr>
        <w:t>（</w:t>
      </w:r>
      <w:r>
        <w:rPr>
          <w:rFonts w:hint="eastAsia"/>
          <w:snapToGrid w:val="0"/>
          <w:kern w:val="0"/>
          <w:sz w:val="28"/>
          <w:szCs w:val="28"/>
        </w:rPr>
        <w:t>5）进行危险性分析，排列出重点和轻、重、缓、急次序，以便处理。</w:t>
      </w:r>
    </w:p>
    <w:p>
      <w:pPr>
        <w:adjustRightInd w:val="0"/>
        <w:snapToGrid w:val="0"/>
        <w:spacing w:line="360" w:lineRule="auto"/>
        <w:ind w:firstLine="560" w:firstLineChars="200"/>
        <w:rPr>
          <w:rFonts w:hint="eastAsia"/>
          <w:snapToGrid w:val="0"/>
          <w:kern w:val="0"/>
          <w:sz w:val="28"/>
          <w:szCs w:val="28"/>
        </w:rPr>
      </w:pPr>
      <w:r>
        <w:rPr>
          <w:rFonts w:hint="eastAsia"/>
          <w:snapToGrid w:val="0"/>
          <w:kern w:val="0"/>
          <w:sz w:val="28"/>
          <w:szCs w:val="28"/>
          <w:lang w:eastAsia="zh-CN"/>
        </w:rPr>
        <w:t>（</w:t>
      </w:r>
      <w:r>
        <w:rPr>
          <w:rFonts w:hint="eastAsia"/>
          <w:snapToGrid w:val="0"/>
          <w:kern w:val="0"/>
          <w:sz w:val="28"/>
          <w:szCs w:val="28"/>
        </w:rPr>
        <w:t>6）制定事故或灾害的预防性对策措施。</w:t>
      </w:r>
    </w:p>
    <w:p>
      <w:pPr>
        <w:adjustRightInd w:val="0"/>
        <w:snapToGrid w:val="0"/>
        <w:spacing w:line="360" w:lineRule="auto"/>
        <w:ind w:firstLine="560" w:firstLineChars="200"/>
        <w:rPr>
          <w:rFonts w:hint="eastAsia"/>
          <w:snapToGrid w:val="0"/>
          <w:kern w:val="0"/>
          <w:sz w:val="28"/>
          <w:szCs w:val="28"/>
        </w:rPr>
      </w:pPr>
      <w:r>
        <w:rPr>
          <w:rFonts w:hint="eastAsia"/>
          <w:snapToGrid w:val="0"/>
          <w:kern w:val="0"/>
          <w:sz w:val="28"/>
          <w:szCs w:val="28"/>
        </w:rPr>
        <w:t>在分析系统危险性时，为了衡量危险性大小及其对系统破坏性的影响程度，将各类危险性划分为以下几个等级，详见表</w:t>
      </w:r>
      <w:r>
        <w:rPr>
          <w:rFonts w:hint="eastAsia"/>
          <w:snapToGrid w:val="0"/>
          <w:kern w:val="0"/>
          <w:sz w:val="28"/>
          <w:szCs w:val="28"/>
          <w:lang w:val="en-US" w:eastAsia="zh-CN"/>
        </w:rPr>
        <w:t>4</w:t>
      </w:r>
      <w:r>
        <w:rPr>
          <w:rFonts w:hint="eastAsia"/>
          <w:snapToGrid w:val="0"/>
          <w:kern w:val="0"/>
          <w:sz w:val="28"/>
          <w:szCs w:val="28"/>
        </w:rPr>
        <w:t>.2-3。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snapToGrid w:val="0"/>
          <w:kern w:val="0"/>
          <w:sz w:val="28"/>
          <w:szCs w:val="28"/>
        </w:rPr>
      </w:pPr>
      <w:r>
        <w:rPr>
          <w:rFonts w:hint="default" w:ascii="Times New Roman" w:hAnsi="Times New Roman" w:eastAsia="宋体" w:cs="Times New Roman"/>
          <w:b/>
          <w:bCs/>
          <w:snapToGrid w:val="0"/>
          <w:kern w:val="0"/>
          <w:sz w:val="24"/>
          <w:szCs w:val="24"/>
        </w:rPr>
        <w:t>表</w:t>
      </w:r>
      <w:r>
        <w:rPr>
          <w:rFonts w:hint="default" w:ascii="Times New Roman" w:hAnsi="Times New Roman" w:eastAsia="宋体" w:cs="Times New Roman"/>
          <w:b/>
          <w:bCs/>
          <w:snapToGrid w:val="0"/>
          <w:kern w:val="0"/>
          <w:sz w:val="24"/>
          <w:szCs w:val="24"/>
          <w:lang w:val="en-US" w:eastAsia="zh-CN"/>
        </w:rPr>
        <w:t>4</w:t>
      </w:r>
      <w:r>
        <w:rPr>
          <w:rFonts w:hint="default" w:ascii="Times New Roman" w:hAnsi="Times New Roman" w:eastAsia="宋体" w:cs="Times New Roman"/>
          <w:b/>
          <w:bCs/>
          <w:snapToGrid w:val="0"/>
          <w:kern w:val="0"/>
          <w:sz w:val="24"/>
          <w:szCs w:val="24"/>
        </w:rPr>
        <w:t>.2-3 危险性等级划分表</w:t>
      </w:r>
    </w:p>
    <w:tbl>
      <w:tblPr>
        <w:tblStyle w:val="5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327"/>
        <w:gridCol w:w="65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5"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snapToGrid w:val="0"/>
                <w:kern w:val="0"/>
                <w:szCs w:val="21"/>
              </w:rPr>
            </w:pPr>
            <w:r>
              <w:rPr>
                <w:rFonts w:hint="default" w:ascii="Times New Roman" w:hAnsi="Times New Roman" w:eastAsia="宋体" w:cs="Times New Roman"/>
                <w:b/>
                <w:bCs w:val="0"/>
                <w:snapToGrid w:val="0"/>
                <w:kern w:val="0"/>
                <w:szCs w:val="21"/>
              </w:rPr>
              <w:t>级别</w:t>
            </w:r>
          </w:p>
        </w:tc>
        <w:tc>
          <w:tcPr>
            <w:tcW w:w="783"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snapToGrid w:val="0"/>
                <w:kern w:val="0"/>
                <w:szCs w:val="21"/>
              </w:rPr>
            </w:pPr>
            <w:r>
              <w:rPr>
                <w:rFonts w:hint="default" w:ascii="Times New Roman" w:hAnsi="Times New Roman" w:eastAsia="宋体" w:cs="Times New Roman"/>
                <w:b/>
                <w:bCs w:val="0"/>
                <w:snapToGrid w:val="0"/>
                <w:kern w:val="0"/>
                <w:szCs w:val="21"/>
              </w:rPr>
              <w:t>危险程度</w:t>
            </w:r>
          </w:p>
        </w:tc>
        <w:tc>
          <w:tcPr>
            <w:tcW w:w="3861"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snapToGrid w:val="0"/>
                <w:kern w:val="0"/>
                <w:szCs w:val="21"/>
              </w:rPr>
            </w:pPr>
            <w:r>
              <w:rPr>
                <w:rFonts w:hint="default" w:ascii="Times New Roman" w:hAnsi="Times New Roman" w:eastAsia="宋体" w:cs="Times New Roman"/>
                <w:b/>
                <w:bCs w:val="0"/>
                <w:snapToGrid w:val="0"/>
                <w:kern w:val="0"/>
                <w:szCs w:val="21"/>
              </w:rPr>
              <w:t>可能导致的后果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5"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Ⅰ</w:t>
            </w:r>
          </w:p>
        </w:tc>
        <w:tc>
          <w:tcPr>
            <w:tcW w:w="783"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安全的</w:t>
            </w:r>
          </w:p>
        </w:tc>
        <w:tc>
          <w:tcPr>
            <w:tcW w:w="3861"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不会造成人员伤亡及系统损坏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5"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Ⅱ</w:t>
            </w:r>
          </w:p>
        </w:tc>
        <w:tc>
          <w:tcPr>
            <w:tcW w:w="783"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临界的</w:t>
            </w:r>
          </w:p>
        </w:tc>
        <w:tc>
          <w:tcPr>
            <w:tcW w:w="3861"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处于事故的边缘状态，暂时还不至于造成人员伤亡、系统损坏或降低系统性能，但应予以排除或采取控制措施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5"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Ⅲ</w:t>
            </w:r>
          </w:p>
        </w:tc>
        <w:tc>
          <w:tcPr>
            <w:tcW w:w="783"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危险的</w:t>
            </w:r>
          </w:p>
        </w:tc>
        <w:tc>
          <w:tcPr>
            <w:tcW w:w="3861"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会造成人员伤亡和系统损坏，要立即采取防范对策措施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55"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Ⅳ</w:t>
            </w:r>
          </w:p>
        </w:tc>
        <w:tc>
          <w:tcPr>
            <w:tcW w:w="783"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灾难性的</w:t>
            </w:r>
          </w:p>
        </w:tc>
        <w:tc>
          <w:tcPr>
            <w:tcW w:w="3861" w:type="pct"/>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eastAsia="宋体" w:cs="Times New Roman"/>
                <w:snapToGrid w:val="0"/>
                <w:kern w:val="0"/>
                <w:szCs w:val="21"/>
              </w:rPr>
            </w:pPr>
            <w:r>
              <w:rPr>
                <w:rFonts w:hint="default" w:ascii="Times New Roman" w:hAnsi="Times New Roman" w:eastAsia="宋体" w:cs="Times New Roman"/>
                <w:snapToGrid w:val="0"/>
                <w:kern w:val="0"/>
                <w:szCs w:val="21"/>
              </w:rPr>
              <w:t>造成人员重大伤亡及系统严重破坏的灾难性事故，必须予以果断排除并进行重点防范</w:t>
            </w:r>
          </w:p>
        </w:tc>
      </w:tr>
    </w:tbl>
    <w:p>
      <w:pPr>
        <w:pStyle w:val="6"/>
        <w:keepNext/>
        <w:keepLines/>
        <w:pageBreakBefore w:val="0"/>
        <w:widowControl w:val="0"/>
        <w:kinsoku/>
        <w:wordWrap/>
        <w:overflowPunct/>
        <w:topLinePunct w:val="0"/>
        <w:autoSpaceDE/>
        <w:autoSpaceDN/>
        <w:bidi w:val="0"/>
        <w:adjustRightInd w:val="0"/>
        <w:snapToGrid w:val="0"/>
        <w:spacing w:before="157" w:beforeLines="50" w:after="0" w:line="360" w:lineRule="auto"/>
        <w:textAlignment w:val="auto"/>
        <w:rPr>
          <w:rFonts w:hint="default" w:eastAsia="黑体"/>
          <w:b w:val="0"/>
          <w:snapToGrid w:val="0"/>
          <w:color w:val="auto"/>
          <w:kern w:val="0"/>
          <w:sz w:val="28"/>
          <w:szCs w:val="28"/>
          <w:lang w:val="en-US" w:eastAsia="zh-CN"/>
        </w:rPr>
      </w:pPr>
      <w:r>
        <w:rPr>
          <w:rFonts w:hint="eastAsia" w:eastAsia="黑体"/>
          <w:b w:val="0"/>
          <w:snapToGrid w:val="0"/>
          <w:color w:val="auto"/>
          <w:kern w:val="0"/>
          <w:sz w:val="28"/>
          <w:szCs w:val="28"/>
        </w:rPr>
        <w:t>4.</w:t>
      </w:r>
      <w:r>
        <w:rPr>
          <w:rFonts w:hint="eastAsia" w:eastAsia="黑体"/>
          <w:b w:val="0"/>
          <w:snapToGrid w:val="0"/>
          <w:color w:val="auto"/>
          <w:kern w:val="0"/>
          <w:sz w:val="28"/>
          <w:szCs w:val="28"/>
          <w:lang w:val="en-US" w:eastAsia="zh-CN"/>
        </w:rPr>
        <w:t>2</w:t>
      </w:r>
      <w:r>
        <w:rPr>
          <w:rFonts w:hint="eastAsia" w:eastAsia="黑体"/>
          <w:b w:val="0"/>
          <w:snapToGrid w:val="0"/>
          <w:color w:val="auto"/>
          <w:kern w:val="0"/>
          <w:sz w:val="28"/>
          <w:szCs w:val="28"/>
        </w:rPr>
        <w:t>.</w:t>
      </w:r>
      <w:r>
        <w:rPr>
          <w:rFonts w:hint="eastAsia" w:eastAsia="黑体"/>
          <w:b w:val="0"/>
          <w:snapToGrid w:val="0"/>
          <w:color w:val="auto"/>
          <w:kern w:val="0"/>
          <w:sz w:val="28"/>
          <w:szCs w:val="28"/>
          <w:lang w:val="en-US" w:eastAsia="zh-CN"/>
        </w:rPr>
        <w:t>3</w:t>
      </w:r>
      <w:r>
        <w:rPr>
          <w:rFonts w:eastAsia="黑体"/>
          <w:b w:val="0"/>
          <w:snapToGrid w:val="0"/>
          <w:color w:val="auto"/>
          <w:kern w:val="0"/>
          <w:sz w:val="28"/>
          <w:szCs w:val="28"/>
        </w:rPr>
        <w:t xml:space="preserve"> </w:t>
      </w:r>
      <w:r>
        <w:rPr>
          <w:rFonts w:hint="eastAsia" w:eastAsia="黑体"/>
          <w:b w:val="0"/>
          <w:snapToGrid w:val="0"/>
          <w:color w:val="auto"/>
          <w:kern w:val="0"/>
          <w:sz w:val="28"/>
          <w:szCs w:val="28"/>
          <w:lang w:val="en-US" w:eastAsia="zh-CN"/>
        </w:rPr>
        <w:t>作业条件危险性评价法（LEC）</w:t>
      </w:r>
    </w:p>
    <w:p>
      <w:pPr>
        <w:adjustRightInd w:val="0"/>
        <w:snapToGrid w:val="0"/>
        <w:spacing w:line="360" w:lineRule="auto"/>
        <w:ind w:firstLine="560" w:firstLineChars="200"/>
        <w:rPr>
          <w:rFonts w:hint="eastAsia"/>
          <w:snapToGrid w:val="0"/>
          <w:color w:val="auto"/>
          <w:kern w:val="0"/>
          <w:sz w:val="28"/>
          <w:szCs w:val="28"/>
        </w:rPr>
      </w:pPr>
      <w:r>
        <w:rPr>
          <w:rFonts w:hint="eastAsia"/>
          <w:snapToGrid w:val="0"/>
          <w:color w:val="auto"/>
          <w:kern w:val="0"/>
          <w:sz w:val="28"/>
          <w:szCs w:val="28"/>
        </w:rPr>
        <w:t>作业条件危险性评价法是以所评价的环境与某些作为参考环境的对比为基础，将作业条件的危险性做因变量（D），事故或危险事件发生的可能性（L）、暴露于危险环境的频率（E）及危险严重程度（C）为自变量，确定他们之间的函数式。对所评价的对象根据情况进行</w:t>
      </w:r>
      <w:r>
        <w:rPr>
          <w:rFonts w:hint="eastAsia"/>
          <w:snapToGrid w:val="0"/>
          <w:color w:val="auto"/>
          <w:kern w:val="0"/>
          <w:sz w:val="28"/>
          <w:szCs w:val="28"/>
          <w:lang w:eastAsia="zh-CN"/>
        </w:rPr>
        <w:t>“</w:t>
      </w:r>
      <w:r>
        <w:rPr>
          <w:rFonts w:hint="eastAsia"/>
          <w:snapToGrid w:val="0"/>
          <w:color w:val="auto"/>
          <w:kern w:val="0"/>
          <w:sz w:val="28"/>
          <w:szCs w:val="28"/>
        </w:rPr>
        <w:t>打分</w:t>
      </w:r>
      <w:r>
        <w:rPr>
          <w:rFonts w:hint="eastAsia"/>
          <w:snapToGrid w:val="0"/>
          <w:color w:val="auto"/>
          <w:kern w:val="0"/>
          <w:sz w:val="28"/>
          <w:szCs w:val="28"/>
          <w:lang w:eastAsia="zh-CN"/>
        </w:rPr>
        <w:t>”</w:t>
      </w:r>
      <w:r>
        <w:rPr>
          <w:rFonts w:hint="eastAsia"/>
          <w:snapToGrid w:val="0"/>
          <w:color w:val="auto"/>
          <w:kern w:val="0"/>
          <w:sz w:val="28"/>
          <w:szCs w:val="28"/>
        </w:rPr>
        <w:t>，然后根据公式计算出其危险程度。从而定量的对其危险性进行评价。</w:t>
      </w:r>
    </w:p>
    <w:p>
      <w:pPr>
        <w:adjustRightInd w:val="0"/>
        <w:snapToGrid w:val="0"/>
        <w:spacing w:line="360" w:lineRule="auto"/>
        <w:ind w:firstLine="560" w:firstLineChars="200"/>
        <w:rPr>
          <w:rFonts w:hint="eastAsia"/>
          <w:snapToGrid w:val="0"/>
          <w:color w:val="auto"/>
          <w:kern w:val="0"/>
          <w:sz w:val="28"/>
          <w:szCs w:val="28"/>
        </w:rPr>
      </w:pPr>
      <w:r>
        <w:rPr>
          <w:rFonts w:hint="eastAsia"/>
          <w:snapToGrid w:val="0"/>
          <w:color w:val="auto"/>
          <w:kern w:val="0"/>
          <w:sz w:val="28"/>
          <w:szCs w:val="28"/>
        </w:rPr>
        <w:t>作业条件危险性评价是一种简单的半定量评价，是根据事故发生的可能性、人员暴露于危险环境的频率程度和一旦发生事故可能造成的后果等因素来确定的。</w:t>
      </w:r>
    </w:p>
    <w:p>
      <w:pPr>
        <w:adjustRightInd w:val="0"/>
        <w:snapToGrid w:val="0"/>
        <w:spacing w:line="360" w:lineRule="auto"/>
        <w:ind w:firstLine="560" w:firstLineChars="200"/>
        <w:rPr>
          <w:rFonts w:hint="eastAsia"/>
          <w:snapToGrid w:val="0"/>
          <w:color w:val="auto"/>
          <w:kern w:val="0"/>
          <w:sz w:val="28"/>
          <w:szCs w:val="28"/>
        </w:rPr>
      </w:pPr>
      <w:r>
        <w:rPr>
          <w:rFonts w:hint="eastAsia"/>
          <w:snapToGrid w:val="0"/>
          <w:color w:val="auto"/>
          <w:kern w:val="0"/>
          <w:sz w:val="28"/>
          <w:szCs w:val="28"/>
        </w:rPr>
        <w:t>L-事故或危险时间发生的可能性；</w:t>
      </w:r>
    </w:p>
    <w:p>
      <w:pPr>
        <w:adjustRightInd w:val="0"/>
        <w:snapToGrid w:val="0"/>
        <w:spacing w:line="360" w:lineRule="auto"/>
        <w:ind w:firstLine="560" w:firstLineChars="200"/>
        <w:rPr>
          <w:rFonts w:hint="eastAsia"/>
          <w:snapToGrid w:val="0"/>
          <w:color w:val="auto"/>
          <w:kern w:val="0"/>
          <w:sz w:val="28"/>
          <w:szCs w:val="28"/>
        </w:rPr>
      </w:pPr>
      <w:r>
        <w:rPr>
          <w:rFonts w:hint="eastAsia"/>
          <w:snapToGrid w:val="0"/>
          <w:color w:val="auto"/>
          <w:kern w:val="0"/>
          <w:sz w:val="28"/>
          <w:szCs w:val="28"/>
        </w:rPr>
        <w:t>E—暴露于危险环境的频率；</w:t>
      </w:r>
    </w:p>
    <w:p>
      <w:pPr>
        <w:adjustRightInd w:val="0"/>
        <w:snapToGrid w:val="0"/>
        <w:spacing w:line="360" w:lineRule="auto"/>
        <w:ind w:firstLine="560" w:firstLineChars="200"/>
        <w:rPr>
          <w:rFonts w:hint="eastAsia"/>
          <w:snapToGrid w:val="0"/>
          <w:color w:val="auto"/>
          <w:kern w:val="0"/>
          <w:sz w:val="28"/>
          <w:szCs w:val="28"/>
        </w:rPr>
      </w:pPr>
      <w:r>
        <w:rPr>
          <w:rFonts w:hint="eastAsia"/>
          <w:snapToGrid w:val="0"/>
          <w:color w:val="auto"/>
          <w:kern w:val="0"/>
          <w:sz w:val="28"/>
          <w:szCs w:val="28"/>
        </w:rPr>
        <w:t>C—发生事故或危险事件的可能结果。</w:t>
      </w:r>
    </w:p>
    <w:p>
      <w:pPr>
        <w:adjustRightInd w:val="0"/>
        <w:snapToGrid w:val="0"/>
        <w:spacing w:line="360" w:lineRule="auto"/>
        <w:ind w:firstLine="560" w:firstLineChars="200"/>
        <w:rPr>
          <w:rFonts w:hint="eastAsia"/>
          <w:snapToGrid w:val="0"/>
          <w:color w:val="auto"/>
          <w:kern w:val="0"/>
          <w:sz w:val="28"/>
          <w:szCs w:val="28"/>
        </w:rPr>
      </w:pPr>
      <w:r>
        <w:rPr>
          <w:rFonts w:hint="eastAsia"/>
          <w:snapToGrid w:val="0"/>
          <w:color w:val="auto"/>
          <w:kern w:val="0"/>
          <w:sz w:val="28"/>
          <w:szCs w:val="28"/>
        </w:rPr>
        <w:t>作业条件的危险性：D=L·E·C</w:t>
      </w:r>
    </w:p>
    <w:p>
      <w:pPr>
        <w:numPr>
          <w:ilvl w:val="0"/>
          <w:numId w:val="17"/>
        </w:numPr>
        <w:autoSpaceDE w:val="0"/>
        <w:autoSpaceDN w:val="0"/>
        <w:adjustRightInd w:val="0"/>
        <w:snapToGrid w:val="0"/>
        <w:spacing w:line="360" w:lineRule="auto"/>
        <w:ind w:firstLine="560" w:firstLineChars="200"/>
        <w:rPr>
          <w:rFonts w:hint="eastAsia"/>
          <w:snapToGrid w:val="0"/>
          <w:color w:val="auto"/>
          <w:kern w:val="0"/>
          <w:sz w:val="28"/>
          <w:szCs w:val="28"/>
        </w:rPr>
      </w:pPr>
      <w:r>
        <w:rPr>
          <w:rFonts w:hint="eastAsia"/>
          <w:snapToGrid w:val="0"/>
          <w:color w:val="auto"/>
          <w:kern w:val="0"/>
          <w:sz w:val="28"/>
          <w:szCs w:val="28"/>
        </w:rPr>
        <w:t>E、C取值见表</w:t>
      </w:r>
      <w:r>
        <w:rPr>
          <w:rFonts w:hint="eastAsia"/>
          <w:snapToGrid w:val="0"/>
          <w:color w:val="auto"/>
          <w:kern w:val="0"/>
          <w:sz w:val="28"/>
          <w:szCs w:val="28"/>
          <w:lang w:val="en-US" w:eastAsia="zh-CN"/>
        </w:rPr>
        <w:t>4</w:t>
      </w:r>
      <w:r>
        <w:rPr>
          <w:rFonts w:hint="eastAsia"/>
          <w:snapToGrid w:val="0"/>
          <w:color w:val="auto"/>
          <w:kern w:val="0"/>
          <w:sz w:val="28"/>
          <w:szCs w:val="28"/>
        </w:rPr>
        <w:t>.2-4、</w:t>
      </w:r>
      <w:r>
        <w:rPr>
          <w:rFonts w:hint="eastAsia"/>
          <w:snapToGrid w:val="0"/>
          <w:color w:val="auto"/>
          <w:kern w:val="0"/>
          <w:sz w:val="28"/>
          <w:szCs w:val="28"/>
          <w:lang w:val="en-US" w:eastAsia="zh-CN"/>
        </w:rPr>
        <w:t>4</w:t>
      </w:r>
      <w:r>
        <w:rPr>
          <w:rFonts w:hint="eastAsia"/>
          <w:snapToGrid w:val="0"/>
          <w:color w:val="auto"/>
          <w:kern w:val="0"/>
          <w:sz w:val="28"/>
          <w:szCs w:val="28"/>
        </w:rPr>
        <w:t>.2-5、</w:t>
      </w:r>
      <w:r>
        <w:rPr>
          <w:rFonts w:hint="eastAsia"/>
          <w:snapToGrid w:val="0"/>
          <w:color w:val="auto"/>
          <w:kern w:val="0"/>
          <w:sz w:val="28"/>
          <w:szCs w:val="28"/>
          <w:lang w:val="en-US" w:eastAsia="zh-CN"/>
        </w:rPr>
        <w:t>4</w:t>
      </w:r>
      <w:r>
        <w:rPr>
          <w:rFonts w:hint="eastAsia"/>
          <w:snapToGrid w:val="0"/>
          <w:color w:val="auto"/>
          <w:kern w:val="0"/>
          <w:sz w:val="28"/>
          <w:szCs w:val="28"/>
        </w:rPr>
        <w:t>.2-6，D值见表</w:t>
      </w:r>
      <w:r>
        <w:rPr>
          <w:rFonts w:hint="eastAsia"/>
          <w:snapToGrid w:val="0"/>
          <w:color w:val="auto"/>
          <w:kern w:val="0"/>
          <w:sz w:val="28"/>
          <w:szCs w:val="28"/>
          <w:lang w:val="en-US" w:eastAsia="zh-CN"/>
        </w:rPr>
        <w:t>4</w:t>
      </w:r>
      <w:r>
        <w:rPr>
          <w:rFonts w:hint="eastAsia"/>
          <w:snapToGrid w:val="0"/>
          <w:color w:val="auto"/>
          <w:kern w:val="0"/>
          <w:sz w:val="28"/>
          <w:szCs w:val="28"/>
        </w:rPr>
        <w:t>.2-7。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snapToGrid w:val="0"/>
          <w:color w:val="auto"/>
          <w:kern w:val="0"/>
          <w:sz w:val="24"/>
          <w:szCs w:val="24"/>
        </w:rPr>
      </w:pPr>
      <w:r>
        <w:rPr>
          <w:rFonts w:hint="eastAsia" w:ascii="Times New Roman" w:hAnsi="Times New Roman" w:eastAsia="宋体" w:cs="Times New Roman"/>
          <w:b/>
          <w:bCs/>
          <w:snapToGrid w:val="0"/>
          <w:color w:val="auto"/>
          <w:kern w:val="0"/>
          <w:sz w:val="24"/>
          <w:szCs w:val="24"/>
        </w:rPr>
        <w:t>表</w:t>
      </w:r>
      <w:r>
        <w:rPr>
          <w:rFonts w:hint="eastAsia" w:ascii="Times New Roman" w:hAnsi="Times New Roman" w:eastAsia="宋体" w:cs="Times New Roman"/>
          <w:b/>
          <w:bCs/>
          <w:snapToGrid w:val="0"/>
          <w:color w:val="auto"/>
          <w:kern w:val="0"/>
          <w:sz w:val="24"/>
          <w:szCs w:val="24"/>
          <w:lang w:val="en-US" w:eastAsia="zh-CN"/>
        </w:rPr>
        <w:t>4</w:t>
      </w:r>
      <w:r>
        <w:rPr>
          <w:rFonts w:hint="eastAsia" w:ascii="Times New Roman" w:hAnsi="Times New Roman" w:eastAsia="宋体" w:cs="Times New Roman"/>
          <w:b/>
          <w:bCs/>
          <w:snapToGrid w:val="0"/>
          <w:color w:val="auto"/>
          <w:kern w:val="0"/>
          <w:sz w:val="24"/>
          <w:szCs w:val="24"/>
        </w:rPr>
        <w:t>.2-4  发生事故或危险事件的可能性分值表</w:t>
      </w:r>
    </w:p>
    <w:tbl>
      <w:tblPr>
        <w:tblStyle w:val="5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3256"/>
        <w:gridCol w:w="1218"/>
        <w:gridCol w:w="3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2"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分值</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事故或危险情况发生可能性</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分值</w:t>
            </w: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事故或危险情况发生可能性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2"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10*</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完全会被预料到</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0.5</w:t>
            </w: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可以设想，但高度不可能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2"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6</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相当可能</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0.2</w:t>
            </w: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极不可能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2"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3</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不经常，但可能</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0.1*</w:t>
            </w: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实际上不可能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2"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1*</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r>
              <w:rPr>
                <w:rFonts w:hint="eastAsia"/>
                <w:snapToGrid w:val="0"/>
                <w:color w:val="auto"/>
                <w:kern w:val="0"/>
                <w:szCs w:val="24"/>
              </w:rPr>
              <w:t>完全意外，极少可能</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4"/>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snapToGrid w:val="0"/>
          <w:color w:val="auto"/>
          <w:kern w:val="0"/>
          <w:sz w:val="24"/>
          <w:szCs w:val="24"/>
        </w:rPr>
      </w:pPr>
      <w:r>
        <w:rPr>
          <w:rFonts w:hint="eastAsia" w:ascii="Times New Roman" w:hAnsi="Times New Roman" w:eastAsia="宋体" w:cs="Times New Roman"/>
          <w:b/>
          <w:bCs/>
          <w:snapToGrid w:val="0"/>
          <w:color w:val="auto"/>
          <w:kern w:val="0"/>
          <w:sz w:val="24"/>
          <w:szCs w:val="24"/>
        </w:rPr>
        <w:t>表</w:t>
      </w:r>
      <w:r>
        <w:rPr>
          <w:rFonts w:hint="eastAsia" w:ascii="Times New Roman" w:hAnsi="Times New Roman" w:eastAsia="宋体" w:cs="Times New Roman"/>
          <w:b/>
          <w:bCs/>
          <w:snapToGrid w:val="0"/>
          <w:color w:val="auto"/>
          <w:kern w:val="0"/>
          <w:sz w:val="24"/>
          <w:szCs w:val="24"/>
          <w:lang w:val="en-US" w:eastAsia="zh-CN"/>
        </w:rPr>
        <w:t>4</w:t>
      </w:r>
      <w:r>
        <w:rPr>
          <w:rFonts w:hint="eastAsia" w:ascii="Times New Roman" w:hAnsi="Times New Roman" w:eastAsia="宋体" w:cs="Times New Roman"/>
          <w:b/>
          <w:bCs/>
          <w:snapToGrid w:val="0"/>
          <w:color w:val="auto"/>
          <w:kern w:val="0"/>
          <w:sz w:val="24"/>
          <w:szCs w:val="24"/>
        </w:rPr>
        <w:t>.2-5  暴露于危险环境的分值表</w:t>
      </w:r>
    </w:p>
    <w:tbl>
      <w:tblPr>
        <w:tblStyle w:val="5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3256"/>
        <w:gridCol w:w="1218"/>
        <w:gridCol w:w="35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1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分值</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出现于危险环境的情况</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分值</w:t>
            </w:r>
          </w:p>
        </w:tc>
        <w:tc>
          <w:tcPr>
            <w:tcW w:w="352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出现于危险环境的情况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1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10*</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连续暴露于潜在危险环境</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2</w:t>
            </w:r>
          </w:p>
        </w:tc>
        <w:tc>
          <w:tcPr>
            <w:tcW w:w="352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每月暴露一次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1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6</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逐日在工作时间内暴露</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1*</w:t>
            </w:r>
          </w:p>
        </w:tc>
        <w:tc>
          <w:tcPr>
            <w:tcW w:w="352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每年几次出现在潜在危险环境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1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3</w:t>
            </w:r>
          </w:p>
        </w:tc>
        <w:tc>
          <w:tcPr>
            <w:tcW w:w="325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每周一次或偶然地暴露</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0.1</w:t>
            </w:r>
          </w:p>
        </w:tc>
        <w:tc>
          <w:tcPr>
            <w:tcW w:w="352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非常罕见地暴露</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snapToGrid w:val="0"/>
          <w:color w:val="auto"/>
          <w:kern w:val="0"/>
          <w:sz w:val="24"/>
          <w:szCs w:val="24"/>
        </w:rPr>
      </w:pPr>
      <w:r>
        <w:rPr>
          <w:rFonts w:hint="eastAsia" w:ascii="Times New Roman" w:hAnsi="Times New Roman" w:eastAsia="宋体" w:cs="Times New Roman"/>
          <w:b/>
          <w:bCs/>
          <w:snapToGrid w:val="0"/>
          <w:color w:val="auto"/>
          <w:kern w:val="0"/>
          <w:sz w:val="24"/>
          <w:szCs w:val="24"/>
        </w:rPr>
        <w:t>表</w:t>
      </w:r>
      <w:r>
        <w:rPr>
          <w:rFonts w:hint="eastAsia" w:ascii="Times New Roman" w:hAnsi="Times New Roman" w:eastAsia="宋体" w:cs="Times New Roman"/>
          <w:b/>
          <w:bCs/>
          <w:snapToGrid w:val="0"/>
          <w:color w:val="auto"/>
          <w:kern w:val="0"/>
          <w:sz w:val="24"/>
          <w:szCs w:val="24"/>
          <w:lang w:val="en-US" w:eastAsia="zh-CN"/>
        </w:rPr>
        <w:t>4</w:t>
      </w:r>
      <w:r>
        <w:rPr>
          <w:rFonts w:hint="eastAsia" w:ascii="Times New Roman" w:hAnsi="Times New Roman" w:eastAsia="宋体" w:cs="Times New Roman"/>
          <w:b/>
          <w:bCs/>
          <w:snapToGrid w:val="0"/>
          <w:color w:val="auto"/>
          <w:kern w:val="0"/>
          <w:sz w:val="24"/>
          <w:szCs w:val="24"/>
        </w:rPr>
        <w:t>.2-6 发生事故或危险时间的可能结果的分值表</w:t>
      </w:r>
    </w:p>
    <w:tbl>
      <w:tblPr>
        <w:tblStyle w:val="5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707"/>
        <w:gridCol w:w="1218"/>
        <w:gridCol w:w="3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分值</w:t>
            </w:r>
          </w:p>
        </w:tc>
        <w:tc>
          <w:tcPr>
            <w:tcW w:w="3707"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可能结果</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分值</w:t>
            </w: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可能结果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51"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100*</w:t>
            </w:r>
          </w:p>
        </w:tc>
        <w:tc>
          <w:tcPr>
            <w:tcW w:w="3707"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大灾难，许多人死亡</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7</w:t>
            </w: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严重，严重伤害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40</w:t>
            </w:r>
          </w:p>
        </w:tc>
        <w:tc>
          <w:tcPr>
            <w:tcW w:w="3707"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灾难，数人死亡</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3</w:t>
            </w: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重大，致残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15</w:t>
            </w:r>
          </w:p>
        </w:tc>
        <w:tc>
          <w:tcPr>
            <w:tcW w:w="3707"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非常严重，一人死亡</w:t>
            </w:r>
          </w:p>
        </w:tc>
        <w:tc>
          <w:tcPr>
            <w:tcW w:w="1218"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1*</w:t>
            </w:r>
          </w:p>
        </w:tc>
        <w:tc>
          <w:tcPr>
            <w:tcW w:w="3340"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引人瞩目，需要救护</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snapToGrid w:val="0"/>
          <w:color w:val="auto"/>
          <w:kern w:val="0"/>
          <w:sz w:val="24"/>
          <w:szCs w:val="24"/>
        </w:rPr>
      </w:pPr>
      <w:r>
        <w:rPr>
          <w:rFonts w:hint="eastAsia" w:ascii="Times New Roman" w:hAnsi="Times New Roman" w:eastAsia="宋体" w:cs="Times New Roman"/>
          <w:b/>
          <w:bCs/>
          <w:snapToGrid w:val="0"/>
          <w:color w:val="auto"/>
          <w:kern w:val="0"/>
          <w:sz w:val="24"/>
          <w:szCs w:val="24"/>
        </w:rPr>
        <w:t>表</w:t>
      </w:r>
      <w:r>
        <w:rPr>
          <w:rFonts w:hint="eastAsia" w:ascii="Times New Roman" w:hAnsi="Times New Roman" w:eastAsia="宋体" w:cs="Times New Roman"/>
          <w:b/>
          <w:bCs/>
          <w:snapToGrid w:val="0"/>
          <w:color w:val="auto"/>
          <w:kern w:val="0"/>
          <w:sz w:val="24"/>
          <w:szCs w:val="24"/>
          <w:lang w:val="en-US" w:eastAsia="zh-CN"/>
        </w:rPr>
        <w:t>4</w:t>
      </w:r>
      <w:r>
        <w:rPr>
          <w:rFonts w:hint="eastAsia" w:ascii="Times New Roman" w:hAnsi="Times New Roman" w:eastAsia="宋体" w:cs="Times New Roman"/>
          <w:b/>
          <w:bCs/>
          <w:snapToGrid w:val="0"/>
          <w:color w:val="auto"/>
          <w:kern w:val="0"/>
          <w:sz w:val="24"/>
          <w:szCs w:val="24"/>
        </w:rPr>
        <w:t>.2-7 作业条件危险性分值与危险程度表</w:t>
      </w:r>
    </w:p>
    <w:tbl>
      <w:tblPr>
        <w:tblStyle w:val="5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663"/>
        <w:gridCol w:w="1203"/>
        <w:gridCol w:w="3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分值</w:t>
            </w:r>
          </w:p>
        </w:tc>
        <w:tc>
          <w:tcPr>
            <w:tcW w:w="3663"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危险程度</w:t>
            </w:r>
          </w:p>
        </w:tc>
        <w:tc>
          <w:tcPr>
            <w:tcW w:w="1203"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分值</w:t>
            </w:r>
          </w:p>
        </w:tc>
        <w:tc>
          <w:tcPr>
            <w:tcW w:w="311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bCs w:val="0"/>
                <w:snapToGrid w:val="0"/>
                <w:color w:val="auto"/>
                <w:kern w:val="0"/>
                <w:szCs w:val="21"/>
              </w:rPr>
            </w:pPr>
            <w:r>
              <w:rPr>
                <w:rFonts w:hint="eastAsia" w:ascii="Times New Roman" w:hAnsi="Times New Roman" w:eastAsia="宋体" w:cs="Times New Roman"/>
                <w:b/>
                <w:bCs w:val="0"/>
                <w:snapToGrid w:val="0"/>
                <w:color w:val="auto"/>
                <w:kern w:val="0"/>
                <w:szCs w:val="21"/>
              </w:rPr>
              <w:t>危险程度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320</w:t>
            </w:r>
          </w:p>
        </w:tc>
        <w:tc>
          <w:tcPr>
            <w:tcW w:w="3663"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及其危险，不能继续作业</w:t>
            </w:r>
          </w:p>
        </w:tc>
        <w:tc>
          <w:tcPr>
            <w:tcW w:w="1203"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20-70</w:t>
            </w:r>
          </w:p>
        </w:tc>
        <w:tc>
          <w:tcPr>
            <w:tcW w:w="311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可能危险，需要注意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160-320</w:t>
            </w:r>
          </w:p>
        </w:tc>
        <w:tc>
          <w:tcPr>
            <w:tcW w:w="3663"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高度危险，需要立即整改</w:t>
            </w:r>
          </w:p>
        </w:tc>
        <w:tc>
          <w:tcPr>
            <w:tcW w:w="1203"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20</w:t>
            </w:r>
          </w:p>
        </w:tc>
        <w:tc>
          <w:tcPr>
            <w:tcW w:w="311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稍有危险，或许可以接受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70-160</w:t>
            </w:r>
          </w:p>
        </w:tc>
        <w:tc>
          <w:tcPr>
            <w:tcW w:w="3663"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r>
              <w:rPr>
                <w:rFonts w:hint="eastAsia"/>
                <w:snapToGrid w:val="0"/>
                <w:color w:val="auto"/>
                <w:kern w:val="0"/>
                <w:szCs w:val="21"/>
              </w:rPr>
              <w:t>显著危险，需要整改</w:t>
            </w:r>
          </w:p>
        </w:tc>
        <w:tc>
          <w:tcPr>
            <w:tcW w:w="1203"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p>
        </w:tc>
        <w:tc>
          <w:tcPr>
            <w:tcW w:w="3116" w:type="dxa"/>
            <w:tcBorders>
              <w:tl2br w:val="nil"/>
              <w:tr2bl w:val="nil"/>
            </w:tcBorders>
            <w:noWrap w:val="0"/>
            <w:tcMar>
              <w:top w:w="85" w:type="dxa"/>
              <w:left w:w="85" w:type="dxa"/>
              <w:bottom w:w="85" w:type="dxa"/>
              <w:right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snapToGrid w:val="0"/>
                <w:color w:val="auto"/>
                <w:kern w:val="0"/>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sz w:val="28"/>
        </w:rPr>
      </w:pP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eastAsia="宋体"/>
          <w:szCs w:val="28"/>
          <w:lang w:val="en-US" w:eastAsia="zh-CN"/>
        </w:rPr>
      </w:pPr>
      <w:r>
        <w:rPr>
          <w:rFonts w:hint="eastAsia"/>
          <w:sz w:val="28"/>
          <w:lang w:val="en-US" w:eastAsia="zh-CN"/>
        </w:rPr>
        <w:t>.</w:t>
      </w:r>
    </w:p>
    <w:p>
      <w:pPr>
        <w:widowControl/>
        <w:jc w:val="left"/>
        <w:rPr>
          <w:sz w:val="28"/>
          <w:szCs w:val="28"/>
        </w:rPr>
      </w:pPr>
      <w:r>
        <w:rPr>
          <w:szCs w:val="28"/>
        </w:rPr>
        <w:br w:type="page"/>
      </w:r>
    </w:p>
    <w:p>
      <w:pPr>
        <w:pStyle w:val="3"/>
        <w:adjustRightInd w:val="0"/>
        <w:snapToGrid w:val="0"/>
        <w:spacing w:line="360" w:lineRule="auto"/>
        <w:rPr>
          <w:rFonts w:eastAsia="楷体_GB2312"/>
          <w:b/>
          <w:sz w:val="36"/>
          <w:szCs w:val="36"/>
        </w:rPr>
      </w:pPr>
      <w:bookmarkStart w:id="92" w:name="_Toc281310749"/>
      <w:bookmarkStart w:id="93" w:name="_Toc446488249"/>
      <w:bookmarkStart w:id="94" w:name="_Toc416954893"/>
      <w:bookmarkStart w:id="95" w:name="_Toc637"/>
      <w:r>
        <w:rPr>
          <w:rFonts w:hint="eastAsia" w:eastAsia="楷体_GB2312"/>
          <w:b/>
          <w:sz w:val="36"/>
          <w:szCs w:val="36"/>
        </w:rPr>
        <w:t>5</w:t>
      </w:r>
      <w:r>
        <w:rPr>
          <w:rFonts w:eastAsia="楷体_GB2312"/>
          <w:b/>
          <w:sz w:val="36"/>
          <w:szCs w:val="36"/>
        </w:rPr>
        <w:t xml:space="preserve">  </w:t>
      </w:r>
      <w:r>
        <w:rPr>
          <w:rFonts w:hint="eastAsia" w:eastAsia="楷体_GB2312"/>
          <w:b/>
          <w:sz w:val="36"/>
          <w:szCs w:val="36"/>
          <w:lang w:val="en-US" w:eastAsia="zh-CN"/>
        </w:rPr>
        <w:t>定性、定量</w:t>
      </w:r>
      <w:r>
        <w:rPr>
          <w:rFonts w:hint="eastAsia" w:eastAsia="楷体_GB2312"/>
          <w:b/>
          <w:sz w:val="36"/>
          <w:szCs w:val="36"/>
        </w:rPr>
        <w:t>评价</w:t>
      </w:r>
      <w:bookmarkEnd w:id="92"/>
      <w:bookmarkEnd w:id="93"/>
      <w:bookmarkEnd w:id="94"/>
      <w:bookmarkEnd w:id="95"/>
    </w:p>
    <w:p>
      <w:pPr>
        <w:pStyle w:val="4"/>
        <w:adjustRightInd w:val="0"/>
        <w:snapToGrid w:val="0"/>
        <w:spacing w:before="0" w:after="0" w:line="360" w:lineRule="auto"/>
        <w:rPr>
          <w:rFonts w:ascii="Times New Roman" w:hAnsi="Times New Roman"/>
          <w:b w:val="0"/>
          <w:bCs/>
          <w:szCs w:val="32"/>
        </w:rPr>
      </w:pPr>
      <w:bookmarkStart w:id="96" w:name="_Toc416954894"/>
      <w:bookmarkStart w:id="97" w:name="_Toc281310751"/>
      <w:bookmarkStart w:id="98" w:name="_Toc446488250"/>
      <w:bookmarkStart w:id="99" w:name="_Toc25829"/>
      <w:r>
        <w:rPr>
          <w:rFonts w:hint="eastAsia" w:ascii="Times New Roman" w:hAnsi="Times New Roman"/>
          <w:b w:val="0"/>
          <w:bCs/>
          <w:szCs w:val="32"/>
        </w:rPr>
        <w:t xml:space="preserve">5.1 </w:t>
      </w:r>
      <w:r>
        <w:rPr>
          <w:rFonts w:ascii="Times New Roman" w:hAnsi="Times New Roman"/>
          <w:b w:val="0"/>
          <w:bCs/>
          <w:szCs w:val="32"/>
        </w:rPr>
        <w:t xml:space="preserve"> </w:t>
      </w:r>
      <w:r>
        <w:rPr>
          <w:rFonts w:hint="eastAsia" w:ascii="Times New Roman" w:hAnsi="Times New Roman"/>
          <w:b w:val="0"/>
          <w:bCs/>
          <w:szCs w:val="32"/>
        </w:rPr>
        <w:t>生产单元安全检查表</w:t>
      </w:r>
      <w:bookmarkEnd w:id="96"/>
      <w:bookmarkEnd w:id="97"/>
      <w:bookmarkEnd w:id="98"/>
      <w:bookmarkEnd w:id="99"/>
    </w:p>
    <w:p>
      <w:pPr>
        <w:adjustRightInd w:val="0"/>
        <w:snapToGrid w:val="0"/>
        <w:spacing w:line="360" w:lineRule="auto"/>
        <w:ind w:firstLine="560" w:firstLineChars="200"/>
        <w:rPr>
          <w:sz w:val="28"/>
        </w:rPr>
      </w:pPr>
      <w:r>
        <w:rPr>
          <w:rFonts w:hint="eastAsia"/>
          <w:sz w:val="28"/>
        </w:rPr>
        <w:t>评价过程中，该公司</w:t>
      </w:r>
      <w:r>
        <w:rPr>
          <w:rFonts w:hint="eastAsia"/>
          <w:sz w:val="28"/>
          <w:lang w:val="en-US" w:eastAsia="zh-CN"/>
        </w:rPr>
        <w:t>大庆项目部</w:t>
      </w:r>
      <w:r>
        <w:rPr>
          <w:rFonts w:hint="eastAsia"/>
          <w:sz w:val="28"/>
        </w:rPr>
        <w:t>在</w:t>
      </w:r>
      <w:bookmarkStart w:id="100" w:name="_Hlk535831811"/>
      <w:r>
        <w:rPr>
          <w:rFonts w:hint="eastAsia"/>
          <w:sz w:val="28"/>
          <w:lang w:val="en-US" w:eastAsia="zh-CN"/>
        </w:rPr>
        <w:t>大庆</w:t>
      </w:r>
      <w:r>
        <w:rPr>
          <w:rFonts w:hint="eastAsia"/>
          <w:sz w:val="28"/>
        </w:rPr>
        <w:t>油田</w:t>
      </w:r>
      <w:r>
        <w:rPr>
          <w:rFonts w:hint="eastAsia"/>
          <w:sz w:val="28"/>
          <w:lang w:val="en-US" w:eastAsia="zh-CN"/>
        </w:rPr>
        <w:t>GY3-Q2-H1</w:t>
      </w:r>
      <w:r>
        <w:rPr>
          <w:rFonts w:hint="eastAsia"/>
          <w:sz w:val="28"/>
        </w:rPr>
        <w:t>井</w:t>
      </w:r>
      <w:r>
        <w:rPr>
          <w:rFonts w:hint="eastAsia"/>
          <w:sz w:val="28"/>
          <w:lang w:val="en-US" w:eastAsia="zh-CN"/>
        </w:rPr>
        <w:t>负</w:t>
      </w:r>
      <w:r>
        <w:rPr>
          <w:rFonts w:hint="eastAsia"/>
          <w:sz w:val="28"/>
        </w:rPr>
        <w:t>责定向和LWD仪器服务，</w:t>
      </w:r>
      <w:bookmarkEnd w:id="100"/>
      <w:r>
        <w:rPr>
          <w:rFonts w:hint="eastAsia"/>
          <w:sz w:val="28"/>
          <w:szCs w:val="28"/>
          <w:lang w:val="en-US" w:eastAsia="zh-CN"/>
        </w:rPr>
        <w:t>西南项目部在重庆梁平区负责兴隆气田兴隆1-1井随钻测井服务</w:t>
      </w:r>
      <w:r>
        <w:rPr>
          <w:rFonts w:hint="eastAsia"/>
          <w:sz w:val="28"/>
          <w:szCs w:val="28"/>
        </w:rPr>
        <w:t>。</w:t>
      </w:r>
      <w:r>
        <w:rPr>
          <w:rFonts w:hint="eastAsia"/>
          <w:sz w:val="28"/>
        </w:rPr>
        <w:t>评价组根据</w:t>
      </w:r>
      <w:r>
        <w:rPr>
          <w:rFonts w:hint="eastAsia"/>
          <w:sz w:val="28"/>
          <w:lang w:val="en-US" w:eastAsia="zh-CN"/>
        </w:rPr>
        <w:t>大庆</w:t>
      </w:r>
      <w:r>
        <w:rPr>
          <w:rFonts w:hint="eastAsia"/>
          <w:sz w:val="28"/>
        </w:rPr>
        <w:t>油田</w:t>
      </w:r>
      <w:r>
        <w:rPr>
          <w:rFonts w:hint="eastAsia"/>
          <w:sz w:val="28"/>
          <w:lang w:val="en-US" w:eastAsia="zh-CN"/>
        </w:rPr>
        <w:t>GY3-Q2-H1</w:t>
      </w:r>
      <w:r>
        <w:rPr>
          <w:rFonts w:hint="eastAsia"/>
          <w:sz w:val="28"/>
        </w:rPr>
        <w:t>井</w:t>
      </w:r>
      <w:r>
        <w:rPr>
          <w:rFonts w:hint="eastAsia"/>
          <w:sz w:val="28"/>
          <w:lang w:val="en-US" w:eastAsia="zh-CN"/>
        </w:rPr>
        <w:t>以及兴隆气田</w:t>
      </w:r>
      <w:r>
        <w:rPr>
          <w:rFonts w:hint="eastAsia"/>
          <w:sz w:val="28"/>
          <w:szCs w:val="28"/>
          <w:lang w:val="en-US" w:eastAsia="zh-CN"/>
        </w:rPr>
        <w:t>兴隆1-1井施工资料</w:t>
      </w:r>
      <w:r>
        <w:rPr>
          <w:rFonts w:hint="eastAsia"/>
          <w:sz w:val="28"/>
        </w:rPr>
        <w:t>进行检查评价。</w:t>
      </w:r>
    </w:p>
    <w:p>
      <w:pPr>
        <w:keepNext/>
        <w:keepLines/>
        <w:adjustRightInd w:val="0"/>
        <w:snapToGrid w:val="0"/>
        <w:spacing w:line="360" w:lineRule="auto"/>
        <w:outlineLvl w:val="2"/>
        <w:rPr>
          <w:rFonts w:hint="eastAsia" w:eastAsia="黑体"/>
          <w:bCs/>
          <w:snapToGrid w:val="0"/>
          <w:kern w:val="0"/>
          <w:sz w:val="28"/>
          <w:szCs w:val="28"/>
          <w:lang w:val="en-US" w:eastAsia="zh-CN"/>
        </w:rPr>
      </w:pPr>
      <w:bookmarkStart w:id="101" w:name="_Toc472176361"/>
      <w:bookmarkStart w:id="102" w:name="_Toc472176467"/>
      <w:r>
        <w:rPr>
          <w:rFonts w:eastAsia="黑体"/>
          <w:bCs/>
          <w:snapToGrid w:val="0"/>
          <w:kern w:val="0"/>
          <w:sz w:val="28"/>
          <w:szCs w:val="28"/>
        </w:rPr>
        <w:t xml:space="preserve">5.1.1 </w:t>
      </w:r>
      <w:r>
        <w:rPr>
          <w:rFonts w:hint="eastAsia" w:eastAsia="黑体"/>
          <w:bCs/>
          <w:snapToGrid w:val="0"/>
          <w:kern w:val="0"/>
          <w:sz w:val="28"/>
          <w:szCs w:val="28"/>
          <w:lang w:val="en-US" w:eastAsia="zh-CN"/>
        </w:rPr>
        <w:t>施工</w:t>
      </w:r>
      <w:r>
        <w:rPr>
          <w:rFonts w:hint="eastAsia" w:eastAsia="黑体"/>
          <w:bCs/>
          <w:snapToGrid w:val="0"/>
          <w:kern w:val="0"/>
          <w:sz w:val="28"/>
          <w:szCs w:val="28"/>
        </w:rPr>
        <w:t>情况</w:t>
      </w:r>
      <w:bookmarkEnd w:id="101"/>
      <w:bookmarkEnd w:id="102"/>
      <w:r>
        <w:rPr>
          <w:rFonts w:hint="eastAsia" w:eastAsia="黑体"/>
          <w:bCs/>
          <w:snapToGrid w:val="0"/>
          <w:kern w:val="0"/>
          <w:sz w:val="28"/>
          <w:szCs w:val="28"/>
          <w:lang w:val="en-US" w:eastAsia="zh-CN"/>
        </w:rPr>
        <w:t>简介</w:t>
      </w:r>
    </w:p>
    <w:p>
      <w:pPr>
        <w:pStyle w:val="216"/>
        <w:adjustRightInd w:val="0"/>
        <w:snapToGrid w:val="0"/>
        <w:spacing w:after="0" w:line="360" w:lineRule="auto"/>
        <w:ind w:firstLine="560" w:firstLineChars="200"/>
        <w:rPr>
          <w:rFonts w:hint="default" w:eastAsia="宋体"/>
          <w:b/>
          <w:sz w:val="28"/>
          <w:szCs w:val="28"/>
          <w:lang w:val="en-US" w:eastAsia="zh-CN"/>
        </w:rPr>
      </w:pPr>
      <w:bookmarkStart w:id="103" w:name="_Hlk535843016"/>
      <w:r>
        <w:rPr>
          <w:rFonts w:hint="eastAsia"/>
          <w:b/>
          <w:sz w:val="28"/>
          <w:szCs w:val="28"/>
        </w:rPr>
        <w:t>1</w:t>
      </w:r>
      <w:r>
        <w:rPr>
          <w:b/>
          <w:sz w:val="28"/>
          <w:szCs w:val="28"/>
        </w:rPr>
        <w:t>.</w:t>
      </w:r>
      <w:r>
        <w:rPr>
          <w:rFonts w:hint="eastAsia"/>
          <w:b/>
          <w:sz w:val="28"/>
          <w:szCs w:val="28"/>
          <w:lang w:val="en-US" w:eastAsia="zh-CN"/>
        </w:rPr>
        <w:t>GY3-Q2-H1井</w:t>
      </w:r>
    </w:p>
    <w:bookmarkEnd w:id="103"/>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1）施工区块简介</w:t>
      </w:r>
    </w:p>
    <w:p>
      <w:pPr>
        <w:adjustRightInd w:val="0"/>
        <w:snapToGrid w:val="0"/>
        <w:spacing w:line="360" w:lineRule="auto"/>
        <w:ind w:firstLine="560" w:firstLineChars="200"/>
        <w:rPr>
          <w:rFonts w:hint="eastAsia" w:ascii="Times New Roman" w:hAnsi="Times New Roman" w:eastAsia="宋体"/>
          <w:color w:val="000000"/>
          <w:sz w:val="28"/>
          <w:szCs w:val="24"/>
        </w:rPr>
      </w:pPr>
      <w:r>
        <w:rPr>
          <w:rFonts w:hint="eastAsia" w:ascii="Times New Roman" w:hAnsi="Times New Roman" w:eastAsia="宋体"/>
          <w:color w:val="000000"/>
          <w:sz w:val="28"/>
          <w:szCs w:val="24"/>
        </w:rPr>
        <w:t>该井构造位置</w:t>
      </w:r>
      <w:r>
        <w:rPr>
          <w:rFonts w:hint="eastAsia"/>
          <w:color w:val="000000"/>
          <w:sz w:val="28"/>
          <w:szCs w:val="24"/>
          <w:lang w:eastAsia="zh-CN"/>
        </w:rPr>
        <w:t>：</w:t>
      </w:r>
      <w:r>
        <w:rPr>
          <w:rFonts w:hint="eastAsia" w:ascii="Times New Roman" w:hAnsi="Times New Roman" w:eastAsia="宋体"/>
          <w:color w:val="000000"/>
          <w:sz w:val="28"/>
          <w:szCs w:val="24"/>
        </w:rPr>
        <w:t>松辽盆地北部中央坳陷区齐家-古龙凹陷古龙向斜。</w:t>
      </w:r>
    </w:p>
    <w:p>
      <w:pPr>
        <w:adjustRightInd w:val="0"/>
        <w:snapToGrid w:val="0"/>
        <w:spacing w:line="360" w:lineRule="auto"/>
        <w:ind w:firstLine="560" w:firstLineChars="200"/>
        <w:rPr>
          <w:rFonts w:hint="eastAsia" w:ascii="Times New Roman" w:hAnsi="Times New Roman" w:eastAsia="宋体"/>
          <w:color w:val="000000"/>
          <w:sz w:val="28"/>
          <w:szCs w:val="24"/>
        </w:rPr>
      </w:pPr>
      <w:r>
        <w:rPr>
          <w:rFonts w:hint="eastAsia"/>
          <w:color w:val="000000"/>
          <w:sz w:val="28"/>
          <w:szCs w:val="24"/>
          <w:lang w:val="en-US" w:eastAsia="zh-CN"/>
        </w:rPr>
        <w:t>该区域</w:t>
      </w:r>
      <w:r>
        <w:rPr>
          <w:rFonts w:hint="eastAsia" w:ascii="Times New Roman" w:hAnsi="Times New Roman" w:eastAsia="宋体"/>
          <w:color w:val="000000"/>
          <w:sz w:val="28"/>
          <w:szCs w:val="24"/>
        </w:rPr>
        <w:t>区交通便利，有公路、机耕路经过该区。移动、联通网络均覆盖该地区，通讯发达。</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2）井位简介</w:t>
      </w:r>
    </w:p>
    <w:p>
      <w:pPr>
        <w:adjustRightInd w:val="0"/>
        <w:snapToGrid w:val="0"/>
        <w:spacing w:line="360" w:lineRule="auto"/>
        <w:ind w:firstLine="560" w:firstLineChars="200"/>
        <w:rPr>
          <w:rFonts w:hint="eastAsia"/>
          <w:color w:val="000000"/>
          <w:sz w:val="28"/>
          <w:szCs w:val="24"/>
          <w:lang w:val="en-US" w:eastAsia="zh-CN"/>
        </w:rPr>
      </w:pPr>
      <w:r>
        <w:rPr>
          <w:rFonts w:hint="eastAsia"/>
          <w:color w:val="000000"/>
          <w:sz w:val="28"/>
          <w:szCs w:val="24"/>
          <w:lang w:val="en-US" w:eastAsia="zh-CN"/>
        </w:rPr>
        <w:t>GY3-Q2-H1井位于黑龙江省大庆市肇源县境内。试验区地面主要为耕地、林地。设计井属于大庆油田采油九厂所辖。井口位于耕地内，南边距离乡间公路大约300m，东南距离水坑大约430m，井口500m内无建筑物。</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sz w:val="28"/>
          <w:szCs w:val="24"/>
          <w:lang w:val="en-US" w:eastAsia="zh-CN"/>
        </w:rPr>
      </w:pPr>
      <w:r>
        <w:rPr>
          <w:rFonts w:hint="eastAsia"/>
          <w:color w:val="000000"/>
          <w:sz w:val="28"/>
          <w:szCs w:val="24"/>
          <w:lang w:val="en-US" w:eastAsia="zh-CN"/>
        </w:rPr>
        <w:t>钻井区内有水坑。根据水务公司提供的资料，该区浅部发育有第四系、第三系泰康组含水层，其中第三系泰康组含水层为该区主要开采含水层位。设计井含水层底界深度176m。</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sz w:val="28"/>
          <w:szCs w:val="24"/>
          <w:lang w:val="en-US" w:eastAsia="zh-CN"/>
        </w:rPr>
      </w:pPr>
      <w:r>
        <w:rPr>
          <w:rFonts w:hint="eastAsia"/>
          <w:color w:val="000000"/>
          <w:sz w:val="28"/>
          <w:szCs w:val="24"/>
          <w:lang w:val="en-US" w:eastAsia="zh-CN"/>
        </w:rPr>
        <w:t>设计井深：完钻垂深：2517.27m；完钻斜深：5293.00m。</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sz w:val="28"/>
          <w:szCs w:val="24"/>
          <w:lang w:val="en-US" w:eastAsia="zh-CN"/>
        </w:rPr>
      </w:pPr>
      <w:r>
        <w:rPr>
          <w:rFonts w:hint="eastAsia"/>
          <w:color w:val="000000"/>
          <w:sz w:val="28"/>
          <w:szCs w:val="24"/>
          <w:lang w:val="en-US" w:eastAsia="zh-CN"/>
        </w:rPr>
        <w:t>井别：开发井；井型：水平井。</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color w:val="000000"/>
          <w:sz w:val="28"/>
          <w:szCs w:val="24"/>
          <w:lang w:val="en-US" w:eastAsia="zh-CN"/>
        </w:rPr>
      </w:pPr>
      <w:r>
        <w:rPr>
          <w:rFonts w:hint="eastAsia"/>
          <w:color w:val="000000"/>
          <w:sz w:val="28"/>
          <w:szCs w:val="24"/>
          <w:lang w:val="en-US" w:eastAsia="zh-CN"/>
        </w:rPr>
        <w:t>完钻层位：青一段。</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olor w:val="000000"/>
          <w:sz w:val="28"/>
          <w:szCs w:val="24"/>
          <w:lang w:val="en-US" w:eastAsia="zh-CN"/>
        </w:rPr>
      </w:pPr>
      <w:r>
        <w:rPr>
          <w:rFonts w:hint="eastAsia"/>
          <w:color w:val="000000"/>
          <w:sz w:val="28"/>
          <w:szCs w:val="24"/>
          <w:lang w:val="en-US" w:eastAsia="zh-CN"/>
        </w:rPr>
        <w:t>完井方法：射孔完井（大规模压裂）。</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3）工程简介</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val="en-US" w:eastAsia="zh-CN"/>
        </w:rPr>
        <w:t>1）井身结构</w:t>
      </w:r>
    </w:p>
    <w:p>
      <w:pPr>
        <w:pStyle w:val="216"/>
        <w:adjustRightInd w:val="0"/>
        <w:snapToGrid w:val="0"/>
        <w:spacing w:after="0" w:line="360" w:lineRule="auto"/>
        <w:rPr>
          <w:rFonts w:hint="eastAsia"/>
          <w:sz w:val="28"/>
          <w:szCs w:val="28"/>
        </w:rPr>
      </w:pPr>
      <w:r>
        <w:drawing>
          <wp:inline distT="0" distB="0" distL="114300" distR="114300">
            <wp:extent cx="5273675" cy="1970405"/>
            <wp:effectExtent l="0" t="0" r="317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273675" cy="1970405"/>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b/>
          <w:bCs/>
          <w:sz w:val="24"/>
          <w:szCs w:val="24"/>
        </w:rPr>
      </w:pPr>
      <w:r>
        <w:rPr>
          <w:rFonts w:hint="eastAsia"/>
          <w:b/>
          <w:bCs/>
          <w:sz w:val="24"/>
          <w:szCs w:val="24"/>
          <w:lang w:val="en-US" w:eastAsia="zh-CN"/>
        </w:rPr>
        <w:t>图5.1-1 井身结构图</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val="en-US" w:eastAsia="zh-CN"/>
        </w:rPr>
        <w:t>2）井身结构设计数据</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val="en-US" w:eastAsia="zh-CN"/>
        </w:rPr>
        <w:t>井身结构设计数据见下表。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 xml:space="preserve"> </w:t>
      </w:r>
      <w:r>
        <w:rPr>
          <w:rFonts w:hint="default" w:ascii="Times New Roman" w:hAnsi="Times New Roman" w:eastAsia="宋体" w:cs="Times New Roman"/>
          <w:b/>
          <w:color w:val="000000"/>
          <w:sz w:val="24"/>
          <w:lang w:val="en-US" w:eastAsia="zh-CN"/>
        </w:rPr>
        <w:t xml:space="preserve">表5.1-1 </w:t>
      </w:r>
      <w:r>
        <w:rPr>
          <w:rFonts w:hint="default" w:ascii="Times New Roman" w:hAnsi="Times New Roman" w:eastAsia="宋体" w:cs="Times New Roman"/>
          <w:b/>
          <w:color w:val="000000"/>
          <w:sz w:val="24"/>
        </w:rPr>
        <w:t>井身结构设计数据</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9"/>
        <w:gridCol w:w="954"/>
        <w:gridCol w:w="960"/>
        <w:gridCol w:w="1103"/>
        <w:gridCol w:w="1016"/>
        <w:gridCol w:w="1111"/>
        <w:gridCol w:w="1132"/>
        <w:gridCol w:w="12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7" w:hRule="atLeast"/>
          <w:jc w:val="center"/>
        </w:trPr>
        <w:tc>
          <w:tcPr>
            <w:tcW w:w="94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开钻</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次序</w:t>
            </w:r>
          </w:p>
        </w:tc>
        <w:tc>
          <w:tcPr>
            <w:tcW w:w="95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井深</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m</w:t>
            </w:r>
          </w:p>
        </w:tc>
        <w:tc>
          <w:tcPr>
            <w:tcW w:w="9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钻头</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尺寸</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mm</w:t>
            </w:r>
          </w:p>
        </w:tc>
        <w:tc>
          <w:tcPr>
            <w:tcW w:w="11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套管柱</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类  型</w:t>
            </w:r>
          </w:p>
        </w:tc>
        <w:tc>
          <w:tcPr>
            <w:tcW w:w="101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套管</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尺寸</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mm</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套管下入</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层    位</w:t>
            </w:r>
          </w:p>
        </w:tc>
        <w:tc>
          <w:tcPr>
            <w:tcW w:w="113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套管下入</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深    度</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m</w:t>
            </w:r>
          </w:p>
        </w:tc>
        <w:tc>
          <w:tcPr>
            <w:tcW w:w="129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环空水泥浆</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返      深</w:t>
            </w: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94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一开</w:t>
            </w:r>
          </w:p>
        </w:tc>
        <w:tc>
          <w:tcPr>
            <w:tcW w:w="95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194</w:t>
            </w:r>
          </w:p>
        </w:tc>
        <w:tc>
          <w:tcPr>
            <w:tcW w:w="9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444.5</w:t>
            </w:r>
          </w:p>
        </w:tc>
        <w:tc>
          <w:tcPr>
            <w:tcW w:w="11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表层套管</w:t>
            </w:r>
          </w:p>
        </w:tc>
        <w:tc>
          <w:tcPr>
            <w:tcW w:w="101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339.7</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明二段</w:t>
            </w:r>
          </w:p>
        </w:tc>
        <w:tc>
          <w:tcPr>
            <w:tcW w:w="113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193</w:t>
            </w:r>
          </w:p>
        </w:tc>
        <w:tc>
          <w:tcPr>
            <w:tcW w:w="129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94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二开</w:t>
            </w:r>
          </w:p>
        </w:tc>
        <w:tc>
          <w:tcPr>
            <w:tcW w:w="95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2063</w:t>
            </w:r>
          </w:p>
        </w:tc>
        <w:tc>
          <w:tcPr>
            <w:tcW w:w="9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311.2</w:t>
            </w:r>
          </w:p>
        </w:tc>
        <w:tc>
          <w:tcPr>
            <w:tcW w:w="11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技术套管</w:t>
            </w:r>
          </w:p>
        </w:tc>
        <w:tc>
          <w:tcPr>
            <w:tcW w:w="101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244.5</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青二、三段</w:t>
            </w:r>
          </w:p>
        </w:tc>
        <w:tc>
          <w:tcPr>
            <w:tcW w:w="113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2063</w:t>
            </w:r>
          </w:p>
        </w:tc>
        <w:tc>
          <w:tcPr>
            <w:tcW w:w="129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地面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 w:hRule="atLeast"/>
          <w:jc w:val="center"/>
        </w:trPr>
        <w:tc>
          <w:tcPr>
            <w:tcW w:w="94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三开</w:t>
            </w:r>
          </w:p>
        </w:tc>
        <w:tc>
          <w:tcPr>
            <w:tcW w:w="95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5293</w:t>
            </w:r>
          </w:p>
        </w:tc>
        <w:tc>
          <w:tcPr>
            <w:tcW w:w="96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215.9</w:t>
            </w:r>
          </w:p>
        </w:tc>
        <w:tc>
          <w:tcPr>
            <w:tcW w:w="110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生产套管</w:t>
            </w:r>
          </w:p>
        </w:tc>
        <w:tc>
          <w:tcPr>
            <w:tcW w:w="101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139.7</w:t>
            </w:r>
          </w:p>
        </w:tc>
        <w:tc>
          <w:tcPr>
            <w:tcW w:w="11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青一段</w:t>
            </w:r>
          </w:p>
        </w:tc>
        <w:tc>
          <w:tcPr>
            <w:tcW w:w="113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5290</w:t>
            </w:r>
          </w:p>
        </w:tc>
        <w:tc>
          <w:tcPr>
            <w:tcW w:w="129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cs="Times New Roman"/>
                <w:color w:val="000000"/>
              </w:rPr>
              <w:t>地面</w:t>
            </w:r>
          </w:p>
        </w:tc>
      </w:tr>
    </w:tbl>
    <w:p>
      <w:pPr>
        <w:pStyle w:val="216"/>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3）井身结构设计说明</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val="en-US" w:eastAsia="zh-CN"/>
        </w:rPr>
        <w:t>井身结构设计说明见下表。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lang w:val="en-US" w:eastAsia="zh-CN"/>
        </w:rPr>
        <w:t xml:space="preserve">表5.1-2 </w:t>
      </w:r>
      <w:r>
        <w:rPr>
          <w:rFonts w:hint="default" w:ascii="Times New Roman" w:hAnsi="Times New Roman" w:eastAsia="宋体" w:cs="Times New Roman"/>
          <w:b/>
          <w:color w:val="000000"/>
          <w:sz w:val="24"/>
        </w:rPr>
        <w:t>井身结构设计说明</w:t>
      </w:r>
    </w:p>
    <w:tbl>
      <w:tblPr>
        <w:tblStyle w:val="52"/>
        <w:tblW w:w="500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38"/>
        <w:gridCol w:w="1895"/>
        <w:gridCol w:w="48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 w:hRule="atLeast"/>
          <w:tblHeader/>
          <w:jc w:val="center"/>
        </w:trPr>
        <w:tc>
          <w:tcPr>
            <w:tcW w:w="10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开钻次序</w:t>
            </w:r>
          </w:p>
        </w:tc>
        <w:tc>
          <w:tcPr>
            <w:tcW w:w="111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000000"/>
                <w:szCs w:val="21"/>
                <w:lang w:eastAsia="zh-CN"/>
              </w:rPr>
            </w:pPr>
            <w:r>
              <w:rPr>
                <w:rFonts w:hint="default" w:ascii="Times New Roman" w:hAnsi="Times New Roman" w:cs="Times New Roman"/>
                <w:b/>
                <w:bCs/>
                <w:color w:val="000000"/>
                <w:szCs w:val="21"/>
              </w:rPr>
              <w:t>套管尺寸</w:t>
            </w:r>
            <w:r>
              <w:rPr>
                <w:rFonts w:hint="eastAsia" w:ascii="Times New Roman" w:hAnsi="Times New Roman" w:cs="Times New Roman"/>
                <w:b/>
                <w:bCs/>
                <w:color w:val="000000"/>
                <w:szCs w:val="21"/>
                <w:lang w:eastAsia="zh-CN"/>
              </w:rPr>
              <w:t>（</w:t>
            </w:r>
            <w:r>
              <w:rPr>
                <w:rFonts w:hint="default" w:ascii="Times New Roman" w:hAnsi="Times New Roman" w:cs="Times New Roman"/>
                <w:b/>
                <w:bCs/>
                <w:color w:val="000000"/>
                <w:szCs w:val="21"/>
              </w:rPr>
              <w:t>mm</w:t>
            </w:r>
            <w:r>
              <w:rPr>
                <w:rFonts w:hint="eastAsia" w:ascii="Times New Roman" w:hAnsi="Times New Roman" w:cs="Times New Roman"/>
                <w:b/>
                <w:bCs/>
                <w:color w:val="000000"/>
                <w:szCs w:val="21"/>
                <w:lang w:eastAsia="zh-CN"/>
              </w:rPr>
              <w:t>）</w:t>
            </w:r>
          </w:p>
        </w:tc>
        <w:tc>
          <w:tcPr>
            <w:tcW w:w="281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设计说明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10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一  开</w:t>
            </w:r>
          </w:p>
        </w:tc>
        <w:tc>
          <w:tcPr>
            <w:tcW w:w="111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339.7</w:t>
            </w:r>
          </w:p>
        </w:tc>
        <w:tc>
          <w:tcPr>
            <w:tcW w:w="2813"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 xml:space="preserve">安装井控装置； </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封固上部易漏易塌地层；</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防黑帝庙气层井喷；</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保护浅层水；</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悬挂技术套管。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10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二  开</w:t>
            </w:r>
          </w:p>
        </w:tc>
        <w:tc>
          <w:tcPr>
            <w:tcW w:w="111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244.5</w:t>
            </w:r>
          </w:p>
        </w:tc>
        <w:tc>
          <w:tcPr>
            <w:tcW w:w="2813"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安装井控装置；</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封隔易漏易塌地层；</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封隔不同压力层系；</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悬挂生产套管。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107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三  开</w:t>
            </w:r>
          </w:p>
        </w:tc>
        <w:tc>
          <w:tcPr>
            <w:tcW w:w="111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139.7</w:t>
            </w:r>
          </w:p>
        </w:tc>
        <w:tc>
          <w:tcPr>
            <w:tcW w:w="2813"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封固目的层；</w:t>
            </w:r>
          </w:p>
          <w:p>
            <w:pPr>
              <w:keepNext w:val="0"/>
              <w:keepLines w:val="0"/>
              <w:suppressLineNumbers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完井要求。</w:t>
            </w:r>
          </w:p>
        </w:tc>
      </w:tr>
    </w:tbl>
    <w:p>
      <w:pPr>
        <w:pStyle w:val="216"/>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4）基础数据</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val="en-US" w:eastAsia="zh-CN"/>
        </w:rPr>
        <w:t>基础数据见下表。</w:t>
      </w:r>
    </w:p>
    <w:p>
      <w:pPr>
        <w:pStyle w:val="216"/>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sz w:val="28"/>
          <w:szCs w:val="28"/>
          <w:lang w:val="en-US" w:eastAsia="zh-CN"/>
        </w:rPr>
      </w:pPr>
      <w:r>
        <w:rPr>
          <w:rFonts w:hint="default" w:ascii="Times New Roman" w:hAnsi="Times New Roman" w:eastAsia="宋体" w:cs="Times New Roman"/>
          <w:b/>
          <w:color w:val="000000"/>
          <w:sz w:val="24"/>
          <w:lang w:val="en-US" w:eastAsia="zh-CN"/>
        </w:rPr>
        <w:t>表5.1-</w:t>
      </w:r>
      <w:r>
        <w:rPr>
          <w:rFonts w:hint="eastAsia" w:cs="Times New Roman"/>
          <w:b/>
          <w:color w:val="000000"/>
          <w:sz w:val="24"/>
          <w:lang w:val="en-US" w:eastAsia="zh-CN"/>
        </w:rPr>
        <w:t xml:space="preserve">3 </w:t>
      </w:r>
      <w:r>
        <w:rPr>
          <w:rFonts w:hint="default" w:ascii="Times New Roman" w:hAnsi="Times New Roman" w:eastAsia="宋体" w:cs="Times New Roman"/>
          <w:b/>
          <w:color w:val="000000"/>
          <w:sz w:val="24"/>
          <w:lang w:val="en-US" w:eastAsia="zh-CN"/>
        </w:rPr>
        <w:t xml:space="preserve"> </w:t>
      </w:r>
      <w:r>
        <w:rPr>
          <w:rFonts w:hint="eastAsia" w:cs="Times New Roman"/>
          <w:b/>
          <w:color w:val="000000"/>
          <w:sz w:val="24"/>
          <w:lang w:val="en-US" w:eastAsia="zh-CN"/>
        </w:rPr>
        <w:t>GY3-Q2-H1井基础数据一览表</w:t>
      </w:r>
    </w:p>
    <w:tbl>
      <w:tblPr>
        <w:tblStyle w:val="52"/>
        <w:tblpPr w:leftFromText="180" w:rightFromText="180" w:vertAnchor="text" w:horzAnchor="page" w:tblpX="1782" w:tblpY="56"/>
        <w:tblOverlap w:val="never"/>
        <w:tblW w:w="498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49"/>
        <w:gridCol w:w="2247"/>
        <w:gridCol w:w="1590"/>
        <w:gridCol w:w="30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井名</w:t>
            </w:r>
          </w:p>
        </w:tc>
        <w:tc>
          <w:tcPr>
            <w:tcW w:w="4028" w:type="pct"/>
            <w:gridSpan w:val="3"/>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GY3-Q2-H1井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油公司</w:t>
            </w:r>
          </w:p>
        </w:tc>
        <w:tc>
          <w:tcPr>
            <w:tcW w:w="4028" w:type="pct"/>
            <w:gridSpan w:val="3"/>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大庆油田有限责任公司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构造</w:t>
            </w:r>
          </w:p>
        </w:tc>
        <w:tc>
          <w:tcPr>
            <w:tcW w:w="4028" w:type="pct"/>
            <w:gridSpan w:val="3"/>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rPr>
              <w:t>松辽盆地北部中央坳陷区齐家-古龙凹陷古龙向斜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坐标系统</w:t>
            </w:r>
          </w:p>
        </w:tc>
        <w:tc>
          <w:tcPr>
            <w:tcW w:w="4028" w:type="pct"/>
            <w:gridSpan w:val="3"/>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04" w:name="CoordinateSystem"/>
            <w:r>
              <w:rPr>
                <w:rFonts w:hint="default" w:ascii="Times New Roman" w:hAnsi="Times New Roman" w:eastAsia="宋体" w:cs="Times New Roman"/>
                <w:color w:val="000000"/>
                <w:sz w:val="21"/>
                <w:szCs w:val="21"/>
              </w:rPr>
              <w:t xml:space="preserve">高斯克吕格-北京54-六度带 (Beijing1954GKZone21) </w:t>
            </w:r>
            <w:bookmarkEnd w:id="10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井口大地北坐标</w:t>
            </w:r>
          </w:p>
        </w:tc>
        <w:tc>
          <w:tcPr>
            <w:tcW w:w="1323"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05" w:name="Northing"/>
            <w:r>
              <w:rPr>
                <w:rFonts w:hint="default" w:ascii="Times New Roman" w:hAnsi="Times New Roman" w:eastAsia="宋体" w:cs="Times New Roman"/>
                <w:color w:val="000000"/>
                <w:sz w:val="21"/>
                <w:szCs w:val="21"/>
              </w:rPr>
              <w:t>5068331.00 m</w:t>
            </w:r>
            <w:bookmarkEnd w:id="105"/>
          </w:p>
        </w:tc>
        <w:tc>
          <w:tcPr>
            <w:tcW w:w="93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子午线收敛角</w:t>
            </w:r>
          </w:p>
        </w:tc>
        <w:tc>
          <w:tcPr>
            <w:tcW w:w="176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06" w:name="Convergence"/>
            <w:r>
              <w:rPr>
                <w:rFonts w:hint="default" w:ascii="Times New Roman" w:hAnsi="Times New Roman" w:eastAsia="宋体" w:cs="Times New Roman"/>
                <w:color w:val="000000"/>
                <w:sz w:val="21"/>
                <w:szCs w:val="21"/>
              </w:rPr>
              <w:t>0.89 deg</w:t>
            </w:r>
            <w:bookmarkEnd w:id="10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井口大地东坐标</w:t>
            </w:r>
          </w:p>
        </w:tc>
        <w:tc>
          <w:tcPr>
            <w:tcW w:w="1323"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07" w:name="Easting"/>
            <w:r>
              <w:rPr>
                <w:rFonts w:hint="default" w:ascii="Times New Roman" w:hAnsi="Times New Roman" w:eastAsia="宋体" w:cs="Times New Roman"/>
                <w:color w:val="000000"/>
                <w:sz w:val="21"/>
                <w:szCs w:val="21"/>
              </w:rPr>
              <w:t>21596600.00 m</w:t>
            </w:r>
            <w:bookmarkEnd w:id="107"/>
          </w:p>
        </w:tc>
        <w:tc>
          <w:tcPr>
            <w:tcW w:w="93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比例系数</w:t>
            </w:r>
          </w:p>
        </w:tc>
        <w:tc>
          <w:tcPr>
            <w:tcW w:w="176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08" w:name="ScaleFactor"/>
            <w:r>
              <w:rPr>
                <w:rFonts w:hint="default" w:ascii="Times New Roman" w:hAnsi="Times New Roman" w:eastAsia="宋体" w:cs="Times New Roman"/>
                <w:color w:val="000000"/>
                <w:sz w:val="21"/>
                <w:szCs w:val="21"/>
              </w:rPr>
              <w:t xml:space="preserve">1.00 </w:t>
            </w:r>
            <w:bookmarkEnd w:id="10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井口纬度</w:t>
            </w:r>
          </w:p>
        </w:tc>
        <w:tc>
          <w:tcPr>
            <w:tcW w:w="1323"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09" w:name="Latitude"/>
            <w:r>
              <w:rPr>
                <w:rFonts w:hint="default" w:ascii="Times New Roman" w:hAnsi="Times New Roman" w:eastAsia="宋体" w:cs="Times New Roman"/>
                <w:color w:val="000000"/>
                <w:sz w:val="21"/>
                <w:szCs w:val="21"/>
              </w:rPr>
              <w:t xml:space="preserve">N 45 55 39.486 </w:t>
            </w:r>
            <w:bookmarkEnd w:id="109"/>
          </w:p>
        </w:tc>
        <w:tc>
          <w:tcPr>
            <w:tcW w:w="93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地磁模型</w:t>
            </w:r>
          </w:p>
        </w:tc>
        <w:tc>
          <w:tcPr>
            <w:tcW w:w="176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0" w:name="MagModel"/>
            <w:r>
              <w:rPr>
                <w:rFonts w:hint="default" w:ascii="Times New Roman" w:hAnsi="Times New Roman" w:eastAsia="宋体" w:cs="Times New Roman"/>
                <w:color w:val="000000"/>
                <w:sz w:val="21"/>
                <w:szCs w:val="21"/>
              </w:rPr>
              <w:t xml:space="preserve">WMM2020 </w:t>
            </w:r>
            <w:bookmarkEnd w:id="11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井口经度</w:t>
            </w:r>
          </w:p>
        </w:tc>
        <w:tc>
          <w:tcPr>
            <w:tcW w:w="1323"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1" w:name="Longitude"/>
            <w:r>
              <w:rPr>
                <w:rFonts w:hint="default" w:ascii="Times New Roman" w:hAnsi="Times New Roman" w:eastAsia="宋体" w:cs="Times New Roman"/>
                <w:color w:val="000000"/>
                <w:sz w:val="21"/>
                <w:szCs w:val="21"/>
              </w:rPr>
              <w:t xml:space="preserve">E 124 16 1.374 </w:t>
            </w:r>
            <w:bookmarkEnd w:id="111"/>
          </w:p>
        </w:tc>
        <w:tc>
          <w:tcPr>
            <w:tcW w:w="93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磁参数日期</w:t>
            </w:r>
          </w:p>
        </w:tc>
        <w:tc>
          <w:tcPr>
            <w:tcW w:w="176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2" w:name="MagDate"/>
            <w:r>
              <w:rPr>
                <w:rFonts w:hint="default" w:ascii="Times New Roman" w:hAnsi="Times New Roman" w:eastAsia="宋体" w:cs="Times New Roman"/>
                <w:color w:val="000000"/>
                <w:sz w:val="21"/>
                <w:szCs w:val="21"/>
              </w:rPr>
              <w:t xml:space="preserve">2021/8/25 </w:t>
            </w:r>
            <w:bookmarkEnd w:id="1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地面海拔</w:t>
            </w:r>
          </w:p>
        </w:tc>
        <w:tc>
          <w:tcPr>
            <w:tcW w:w="1323"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3" w:name="GroundLevel"/>
            <w:r>
              <w:rPr>
                <w:rFonts w:hint="default" w:ascii="Times New Roman" w:hAnsi="Times New Roman" w:eastAsia="宋体" w:cs="Times New Roman"/>
                <w:color w:val="000000"/>
                <w:sz w:val="21"/>
                <w:szCs w:val="21"/>
              </w:rPr>
              <w:t>134.00 m</w:t>
            </w:r>
            <w:bookmarkEnd w:id="113"/>
          </w:p>
        </w:tc>
        <w:tc>
          <w:tcPr>
            <w:tcW w:w="93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磁偏角</w:t>
            </w:r>
          </w:p>
        </w:tc>
        <w:tc>
          <w:tcPr>
            <w:tcW w:w="176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4" w:name="Declination"/>
            <w:r>
              <w:rPr>
                <w:rFonts w:hint="default" w:ascii="Times New Roman" w:hAnsi="Times New Roman" w:eastAsia="宋体" w:cs="Times New Roman"/>
                <w:color w:val="000000"/>
                <w:sz w:val="21"/>
                <w:szCs w:val="21"/>
              </w:rPr>
              <w:t>-10.85 deg</w:t>
            </w:r>
            <w:bookmarkEnd w:id="11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补心高</w:t>
            </w:r>
          </w:p>
        </w:tc>
        <w:tc>
          <w:tcPr>
            <w:tcW w:w="1323"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5" w:name="BushingHeight"/>
            <w:r>
              <w:rPr>
                <w:rFonts w:hint="default" w:ascii="Times New Roman" w:hAnsi="Times New Roman" w:eastAsia="宋体" w:cs="Times New Roman"/>
                <w:color w:val="000000"/>
                <w:sz w:val="21"/>
                <w:szCs w:val="21"/>
              </w:rPr>
              <w:t>10.98 m</w:t>
            </w:r>
            <w:bookmarkEnd w:id="115"/>
          </w:p>
        </w:tc>
        <w:tc>
          <w:tcPr>
            <w:tcW w:w="93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磁方位修正角</w:t>
            </w:r>
          </w:p>
        </w:tc>
        <w:tc>
          <w:tcPr>
            <w:tcW w:w="176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6" w:name="AzCorrectionMag2Grid"/>
            <w:r>
              <w:rPr>
                <w:rFonts w:hint="default" w:ascii="Times New Roman" w:hAnsi="Times New Roman" w:eastAsia="宋体" w:cs="Times New Roman"/>
                <w:color w:val="000000"/>
                <w:sz w:val="21"/>
                <w:szCs w:val="21"/>
              </w:rPr>
              <w:t>-11.78 deg</w:t>
            </w:r>
            <w:bookmarkEnd w:id="1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相对坐标参考</w:t>
            </w:r>
          </w:p>
        </w:tc>
        <w:tc>
          <w:tcPr>
            <w:tcW w:w="1323"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井口</w:t>
            </w:r>
          </w:p>
        </w:tc>
        <w:tc>
          <w:tcPr>
            <w:tcW w:w="93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投影方位</w:t>
            </w:r>
          </w:p>
        </w:tc>
        <w:tc>
          <w:tcPr>
            <w:tcW w:w="176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7" w:name="ProjectionAz"/>
            <w:r>
              <w:rPr>
                <w:rFonts w:hint="default" w:ascii="Times New Roman" w:hAnsi="Times New Roman" w:eastAsia="宋体" w:cs="Times New Roman"/>
                <w:color w:val="000000"/>
                <w:sz w:val="21"/>
                <w:szCs w:val="21"/>
              </w:rPr>
              <w:t>186.71 deg</w:t>
            </w:r>
            <w:bookmarkEnd w:id="11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971"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垂深参考</w:t>
            </w:r>
          </w:p>
        </w:tc>
        <w:tc>
          <w:tcPr>
            <w:tcW w:w="1323"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转盘面</w:t>
            </w:r>
          </w:p>
        </w:tc>
        <w:tc>
          <w:tcPr>
            <w:tcW w:w="936"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方位参考</w:t>
            </w:r>
          </w:p>
        </w:tc>
        <w:tc>
          <w:tcPr>
            <w:tcW w:w="1768" w:type="pct"/>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rPr>
            </w:pPr>
            <w:bookmarkStart w:id="118" w:name="NorthReference"/>
            <w:r>
              <w:rPr>
                <w:rFonts w:hint="default" w:ascii="Times New Roman" w:hAnsi="Times New Roman" w:eastAsia="宋体" w:cs="Times New Roman"/>
                <w:color w:val="000000"/>
                <w:sz w:val="21"/>
                <w:szCs w:val="21"/>
              </w:rPr>
              <w:t xml:space="preserve">网格北 </w:t>
            </w:r>
            <w:bookmarkEnd w:id="118"/>
          </w:p>
        </w:tc>
      </w:tr>
    </w:tbl>
    <w:p>
      <w:pPr>
        <w:pStyle w:val="216"/>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5）水平井轨道投影图</w:t>
      </w:r>
    </w:p>
    <w:p>
      <w:pPr>
        <w:pStyle w:val="216"/>
        <w:adjustRightInd w:val="0"/>
        <w:snapToGrid w:val="0"/>
        <w:spacing w:after="0" w:line="360" w:lineRule="auto"/>
        <w:rPr>
          <w:rFonts w:hint="eastAsia" w:ascii="Arial" w:hAnsi="Arial" w:cs="Arial"/>
          <w:color w:val="000000"/>
          <w:sz w:val="24"/>
        </w:rPr>
      </w:pPr>
      <w:r>
        <w:rPr>
          <w:rFonts w:hint="eastAsia" w:ascii="Arial" w:hAnsi="Arial" w:cs="Arial"/>
          <w:color w:val="000000"/>
          <w:sz w:val="24"/>
          <w:lang w:val="en-US" w:eastAsia="zh-CN"/>
        </w:rPr>
        <w:t xml:space="preserve">             </w:t>
      </w:r>
      <w:r>
        <w:rPr>
          <w:rFonts w:hint="eastAsia" w:ascii="Arial" w:hAnsi="Arial" w:cs="Arial"/>
          <w:color w:val="000000"/>
          <w:sz w:val="24"/>
        </w:rPr>
        <w:drawing>
          <wp:inline distT="0" distB="0" distL="114300" distR="114300">
            <wp:extent cx="3364865" cy="2624455"/>
            <wp:effectExtent l="0" t="0" r="698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3364865" cy="2624455"/>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bCs/>
          <w:color w:val="000000"/>
          <w:sz w:val="24"/>
          <w:lang w:val="en-US" w:eastAsia="zh-CN"/>
        </w:rPr>
      </w:pPr>
      <w:r>
        <w:rPr>
          <w:rFonts w:hint="default" w:ascii="Times New Roman" w:hAnsi="Times New Roman" w:eastAsia="宋体" w:cs="Times New Roman"/>
          <w:b/>
          <w:bCs/>
          <w:color w:val="000000"/>
          <w:sz w:val="24"/>
          <w:lang w:val="en-US" w:eastAsia="zh-CN"/>
        </w:rPr>
        <w:t>图5.1-2 GY3-Q2-H1井垂直投影示意图</w:t>
      </w:r>
    </w:p>
    <w:p>
      <w:pPr>
        <w:pStyle w:val="216"/>
        <w:adjustRightInd w:val="0"/>
        <w:snapToGrid w:val="0"/>
        <w:spacing w:after="0" w:line="360" w:lineRule="auto"/>
        <w:rPr>
          <w:rFonts w:hint="eastAsia"/>
          <w:sz w:val="28"/>
          <w:szCs w:val="28"/>
        </w:rPr>
      </w:pPr>
      <w:r>
        <w:rPr>
          <w:rFonts w:hint="eastAsia"/>
          <w:color w:val="000000"/>
          <w:lang w:val="en-US" w:eastAsia="zh-CN"/>
        </w:rPr>
        <w:t xml:space="preserve">        </w:t>
      </w:r>
      <w:r>
        <w:rPr>
          <w:color w:val="000000"/>
        </w:rPr>
        <w:drawing>
          <wp:inline distT="0" distB="0" distL="114300" distR="114300">
            <wp:extent cx="3726180" cy="2888615"/>
            <wp:effectExtent l="0" t="0" r="762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3726180" cy="2888615"/>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bCs/>
          <w:color w:val="000000"/>
          <w:sz w:val="24"/>
          <w:lang w:val="en-US" w:eastAsia="zh-CN"/>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3</w:t>
      </w:r>
      <w:r>
        <w:rPr>
          <w:rFonts w:hint="default" w:ascii="Times New Roman" w:hAnsi="Times New Roman" w:eastAsia="宋体" w:cs="Times New Roman"/>
          <w:b/>
          <w:bCs/>
          <w:color w:val="000000"/>
          <w:sz w:val="24"/>
          <w:lang w:val="en-US" w:eastAsia="zh-CN"/>
        </w:rPr>
        <w:t xml:space="preserve"> GY3-Q2-H1井</w:t>
      </w:r>
      <w:r>
        <w:rPr>
          <w:rFonts w:hint="eastAsia" w:cs="Times New Roman"/>
          <w:b/>
          <w:bCs/>
          <w:color w:val="000000"/>
          <w:sz w:val="24"/>
          <w:lang w:val="en-US" w:eastAsia="zh-CN"/>
        </w:rPr>
        <w:t>水平</w:t>
      </w:r>
      <w:r>
        <w:rPr>
          <w:rFonts w:hint="default" w:ascii="Times New Roman" w:hAnsi="Times New Roman" w:eastAsia="宋体" w:cs="Times New Roman"/>
          <w:b/>
          <w:bCs/>
          <w:color w:val="000000"/>
          <w:sz w:val="24"/>
          <w:lang w:val="en-US" w:eastAsia="zh-CN"/>
        </w:rPr>
        <w:t>投影示意图</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val="en-US" w:eastAsia="zh-CN"/>
        </w:rPr>
        <w:t>6）防碰设计</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color w:val="000000"/>
          <w:kern w:val="0"/>
          <w:sz w:val="28"/>
          <w:szCs w:val="28"/>
        </w:rPr>
        <w:t>设计井与</w:t>
      </w:r>
      <w:r>
        <w:rPr>
          <w:rFonts w:hint="default" w:ascii="Times New Roman" w:hAnsi="Times New Roman" w:cs="Times New Roman"/>
          <w:color w:val="000000"/>
          <w:sz w:val="28"/>
          <w:szCs w:val="28"/>
        </w:rPr>
        <w:t>GY3-Q</w:t>
      </w:r>
      <w:r>
        <w:rPr>
          <w:rFonts w:hint="default" w:ascii="Times New Roman" w:hAnsi="Times New Roman" w:cs="Times New Roman"/>
          <w:color w:val="000000"/>
          <w:sz w:val="28"/>
          <w:szCs w:val="28"/>
          <w:vertAlign w:val="subscript"/>
        </w:rPr>
        <w:t>1</w:t>
      </w:r>
      <w:r>
        <w:rPr>
          <w:rFonts w:hint="default" w:ascii="Times New Roman" w:hAnsi="Times New Roman" w:cs="Times New Roman"/>
          <w:color w:val="000000"/>
          <w:sz w:val="28"/>
          <w:szCs w:val="28"/>
        </w:rPr>
        <w:t>-H1井、GY3-Q</w:t>
      </w:r>
      <w:r>
        <w:rPr>
          <w:rFonts w:hint="default" w:ascii="Times New Roman" w:hAnsi="Times New Roman" w:cs="Times New Roman"/>
          <w:color w:val="000000"/>
          <w:sz w:val="28"/>
          <w:szCs w:val="28"/>
          <w:vertAlign w:val="subscript"/>
        </w:rPr>
        <w:t>4</w:t>
      </w:r>
      <w:r>
        <w:rPr>
          <w:rFonts w:hint="default" w:ascii="Times New Roman" w:hAnsi="Times New Roman" w:cs="Times New Roman"/>
          <w:color w:val="000000"/>
          <w:sz w:val="28"/>
          <w:szCs w:val="28"/>
        </w:rPr>
        <w:t>-H1井同一井台，井口距离12m、14m。</w:t>
      </w:r>
      <w:r>
        <w:rPr>
          <w:rFonts w:hint="default" w:ascii="Times New Roman" w:hAnsi="Times New Roman" w:cs="Times New Roman"/>
          <w:color w:val="000000"/>
          <w:kern w:val="0"/>
          <w:sz w:val="28"/>
          <w:szCs w:val="28"/>
        </w:rPr>
        <w:t>与</w:t>
      </w:r>
      <w:r>
        <w:rPr>
          <w:rFonts w:hint="default" w:ascii="Times New Roman" w:hAnsi="Times New Roman" w:cs="Times New Roman"/>
          <w:color w:val="000000"/>
          <w:sz w:val="28"/>
          <w:szCs w:val="28"/>
        </w:rPr>
        <w:t>同批设计井GY3-Q</w:t>
      </w:r>
      <w:r>
        <w:rPr>
          <w:rFonts w:hint="default" w:ascii="Times New Roman" w:hAnsi="Times New Roman" w:cs="Times New Roman"/>
          <w:color w:val="000000"/>
          <w:sz w:val="28"/>
          <w:szCs w:val="28"/>
          <w:vertAlign w:val="subscript"/>
        </w:rPr>
        <w:t>7</w:t>
      </w:r>
      <w:r>
        <w:rPr>
          <w:rFonts w:hint="default" w:ascii="Times New Roman" w:hAnsi="Times New Roman" w:cs="Times New Roman"/>
          <w:color w:val="000000"/>
          <w:sz w:val="28"/>
          <w:szCs w:val="28"/>
        </w:rPr>
        <w:t>-H1井、GY3-Q</w:t>
      </w:r>
      <w:r>
        <w:rPr>
          <w:rFonts w:hint="default" w:ascii="Times New Roman" w:hAnsi="Times New Roman" w:cs="Times New Roman"/>
          <w:color w:val="000000"/>
          <w:sz w:val="28"/>
          <w:szCs w:val="28"/>
          <w:vertAlign w:val="subscript"/>
        </w:rPr>
        <w:t>9</w:t>
      </w:r>
      <w:r>
        <w:rPr>
          <w:rFonts w:hint="default" w:ascii="Times New Roman" w:hAnsi="Times New Roman" w:cs="Times New Roman"/>
          <w:color w:val="000000"/>
          <w:sz w:val="28"/>
          <w:szCs w:val="28"/>
        </w:rPr>
        <w:t>-H1井、GY3-Q</w:t>
      </w:r>
      <w:r>
        <w:rPr>
          <w:rFonts w:hint="default" w:ascii="Times New Roman" w:hAnsi="Times New Roman" w:cs="Times New Roman"/>
          <w:color w:val="000000"/>
          <w:sz w:val="28"/>
          <w:szCs w:val="28"/>
          <w:vertAlign w:val="subscript"/>
        </w:rPr>
        <w:t>6</w:t>
      </w:r>
      <w:r>
        <w:rPr>
          <w:rFonts w:hint="default" w:ascii="Times New Roman" w:hAnsi="Times New Roman" w:cs="Times New Roman"/>
          <w:color w:val="000000"/>
          <w:sz w:val="28"/>
          <w:szCs w:val="28"/>
        </w:rPr>
        <w:t>-H1井、GY3-Q</w:t>
      </w:r>
      <w:r>
        <w:rPr>
          <w:rFonts w:hint="default" w:ascii="Times New Roman" w:hAnsi="Times New Roman" w:cs="Times New Roman"/>
          <w:color w:val="000000"/>
          <w:sz w:val="28"/>
          <w:szCs w:val="28"/>
          <w:vertAlign w:val="subscript"/>
        </w:rPr>
        <w:t>4</w:t>
      </w:r>
      <w:r>
        <w:rPr>
          <w:rFonts w:hint="default" w:ascii="Times New Roman" w:hAnsi="Times New Roman" w:cs="Times New Roman"/>
          <w:color w:val="000000"/>
          <w:sz w:val="28"/>
          <w:szCs w:val="28"/>
        </w:rPr>
        <w:t>-H2井井距离较近，实际钻井过程中后钻井要与先钻井实钻轨迹进行防碰扫描。与已钻井英88-44-斜28井、英88-44-斜30井平面投影交叉，钻井过程中注意防碰。</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4）现场简介及施工作业照片</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color w:val="000000"/>
          <w:kern w:val="0"/>
          <w:sz w:val="28"/>
          <w:szCs w:val="28"/>
        </w:rPr>
        <w:t>GY3-Q2-H1井是由大庆钻探四公司70257队承钻，斯伦贝谢油田技术（山东）有限公司负责定向和LWD仪器服务。</w:t>
      </w:r>
    </w:p>
    <w:p>
      <w:pPr>
        <w:pStyle w:val="216"/>
        <w:adjustRightInd w:val="0"/>
        <w:snapToGrid w:val="0"/>
        <w:spacing w:after="0" w:line="360" w:lineRule="auto"/>
        <w:ind w:firstLine="420" w:firstLineChars="200"/>
      </w:pPr>
      <w:r>
        <w:rPr>
          <w:rFonts w:hint="eastAsia"/>
          <w:lang w:val="en-US" w:eastAsia="zh-CN"/>
        </w:rPr>
        <w:t xml:space="preserve">          </w:t>
      </w:r>
      <w:r>
        <w:drawing>
          <wp:inline distT="0" distB="0" distL="114300" distR="114300">
            <wp:extent cx="3305810" cy="3442970"/>
            <wp:effectExtent l="0" t="0" r="889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4"/>
                    <a:stretch>
                      <a:fillRect/>
                    </a:stretch>
                  </pic:blipFill>
                  <pic:spPr>
                    <a:xfrm>
                      <a:off x="0" y="0"/>
                      <a:ext cx="3305810" cy="3442970"/>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bCs/>
          <w:color w:val="000000"/>
          <w:sz w:val="24"/>
          <w:lang w:val="en-US" w:eastAsia="zh-CN"/>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4</w:t>
      </w:r>
      <w:r>
        <w:rPr>
          <w:rFonts w:hint="default" w:ascii="Times New Roman" w:hAnsi="Times New Roman" w:eastAsia="宋体" w:cs="Times New Roman"/>
          <w:b/>
          <w:bCs/>
          <w:color w:val="000000"/>
          <w:sz w:val="24"/>
          <w:lang w:val="en-US" w:eastAsia="zh-CN"/>
        </w:rPr>
        <w:t xml:space="preserve"> GY3-Q2-H1井</w:t>
      </w:r>
      <w:r>
        <w:rPr>
          <w:rFonts w:hint="eastAsia" w:cs="Times New Roman"/>
          <w:b/>
          <w:bCs/>
          <w:color w:val="000000"/>
          <w:sz w:val="24"/>
          <w:lang w:val="en-US" w:eastAsia="zh-CN"/>
        </w:rPr>
        <w:t>井场总览</w:t>
      </w:r>
    </w:p>
    <w:p>
      <w:pPr>
        <w:pStyle w:val="216"/>
        <w:adjustRightInd w:val="0"/>
        <w:snapToGrid w:val="0"/>
        <w:spacing w:after="0" w:line="360" w:lineRule="auto"/>
        <w:ind w:firstLine="420" w:firstLineChars="200"/>
        <w:rPr>
          <w:rFonts w:hint="eastAsia"/>
        </w:rPr>
      </w:pPr>
      <w:r>
        <w:rPr>
          <w:rFonts w:hint="eastAsia"/>
          <w:lang w:val="en-US" w:eastAsia="zh-CN"/>
        </w:rPr>
        <w:t xml:space="preserve">          </w:t>
      </w:r>
      <w:r>
        <w:drawing>
          <wp:inline distT="0" distB="0" distL="114300" distR="114300">
            <wp:extent cx="3304540" cy="4413885"/>
            <wp:effectExtent l="0" t="0" r="10160" b="5715"/>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25"/>
                    <a:stretch>
                      <a:fillRect/>
                    </a:stretch>
                  </pic:blipFill>
                  <pic:spPr>
                    <a:xfrm>
                      <a:off x="0" y="0"/>
                      <a:ext cx="3304540" cy="4413885"/>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bCs/>
          <w:color w:val="000000"/>
          <w:sz w:val="24"/>
          <w:lang w:val="en-US" w:eastAsia="zh-CN"/>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5</w:t>
      </w:r>
      <w:r>
        <w:rPr>
          <w:rFonts w:hint="default" w:ascii="Times New Roman" w:hAnsi="Times New Roman" w:eastAsia="宋体" w:cs="Times New Roman"/>
          <w:b/>
          <w:bCs/>
          <w:color w:val="000000"/>
          <w:sz w:val="24"/>
          <w:lang w:val="en-US" w:eastAsia="zh-CN"/>
        </w:rPr>
        <w:t xml:space="preserve"> </w:t>
      </w:r>
      <w:r>
        <w:rPr>
          <w:rFonts w:hint="eastAsia" w:cs="Times New Roman"/>
          <w:b/>
          <w:bCs/>
          <w:color w:val="000000"/>
          <w:sz w:val="24"/>
          <w:lang w:val="en-US" w:eastAsia="zh-CN"/>
        </w:rPr>
        <w:t>现场作业</w:t>
      </w:r>
    </w:p>
    <w:p>
      <w:pPr>
        <w:pStyle w:val="216"/>
        <w:adjustRightInd w:val="0"/>
        <w:snapToGrid w:val="0"/>
        <w:spacing w:after="0" w:line="360" w:lineRule="auto"/>
        <w:ind w:firstLine="480" w:firstLineChars="200"/>
        <w:rPr>
          <w:rFonts w:hint="eastAsia"/>
          <w:sz w:val="28"/>
          <w:szCs w:val="28"/>
        </w:rPr>
      </w:pPr>
      <w:r>
        <w:rPr>
          <w:rFonts w:hint="eastAsia" w:ascii="Arial" w:hAnsi="宋体" w:cs="Arial"/>
          <w:color w:val="000000"/>
          <w:sz w:val="24"/>
          <w:lang w:val="en-US" w:eastAsia="zh-CN"/>
        </w:rPr>
        <w:t xml:space="preserve">        </w:t>
      </w:r>
      <w:r>
        <w:rPr>
          <w:rFonts w:ascii="Arial" w:hAnsi="宋体" w:cs="Arial"/>
          <w:color w:val="000000"/>
          <w:sz w:val="24"/>
        </w:rPr>
        <w:drawing>
          <wp:inline distT="0" distB="0" distL="114300" distR="114300">
            <wp:extent cx="3304540" cy="4215130"/>
            <wp:effectExtent l="0" t="0" r="10160" b="13970"/>
            <wp:docPr id="80" name="图片 7" descr="微信图片_2021120108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descr="微信图片_20211201082311"/>
                    <pic:cNvPicPr>
                      <a:picLocks noChangeAspect="1"/>
                    </pic:cNvPicPr>
                  </pic:nvPicPr>
                  <pic:blipFill>
                    <a:blip r:embed="rId26"/>
                    <a:stretch>
                      <a:fillRect/>
                    </a:stretch>
                  </pic:blipFill>
                  <pic:spPr>
                    <a:xfrm>
                      <a:off x="0" y="0"/>
                      <a:ext cx="3304540" cy="4215130"/>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Times New Roman" w:hAnsi="Times New Roman" w:eastAsia="宋体" w:cs="Times New Roman"/>
          <w:b/>
          <w:bCs/>
          <w:color w:val="000000"/>
          <w:sz w:val="24"/>
          <w:lang w:val="en-US" w:eastAsia="zh-CN"/>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6  LWD仪器设备</w:t>
      </w:r>
    </w:p>
    <w:p>
      <w:pPr>
        <w:pStyle w:val="216"/>
        <w:adjustRightInd w:val="0"/>
        <w:snapToGrid w:val="0"/>
        <w:spacing w:after="0" w:line="360" w:lineRule="auto"/>
        <w:ind w:firstLine="560" w:firstLineChars="200"/>
        <w:rPr>
          <w:rFonts w:hint="default" w:eastAsia="宋体"/>
          <w:b/>
          <w:sz w:val="28"/>
          <w:szCs w:val="28"/>
          <w:lang w:val="en-US" w:eastAsia="zh-CN"/>
        </w:rPr>
      </w:pPr>
      <w:r>
        <w:rPr>
          <w:rFonts w:hint="eastAsia"/>
          <w:b/>
          <w:sz w:val="28"/>
          <w:szCs w:val="28"/>
          <w:lang w:val="en-US" w:eastAsia="zh-CN"/>
        </w:rPr>
        <w:t>2</w:t>
      </w:r>
      <w:r>
        <w:rPr>
          <w:b/>
          <w:sz w:val="28"/>
          <w:szCs w:val="28"/>
        </w:rPr>
        <w:t>.</w:t>
      </w:r>
      <w:r>
        <w:rPr>
          <w:rFonts w:hint="eastAsia"/>
          <w:b/>
          <w:sz w:val="28"/>
          <w:szCs w:val="28"/>
          <w:lang w:val="en-US" w:eastAsia="zh-CN"/>
        </w:rPr>
        <w:t>兴隆1-1井</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1）施工区块简介</w:t>
      </w:r>
    </w:p>
    <w:p>
      <w:pPr>
        <w:pStyle w:val="272"/>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hAnsi="宋体"/>
          <w:sz w:val="28"/>
          <w:szCs w:val="28"/>
          <w:lang w:val="en-US" w:eastAsia="zh-CN"/>
        </w:rPr>
      </w:pPr>
      <w:r>
        <w:rPr>
          <w:rFonts w:hint="eastAsia" w:hAnsi="宋体"/>
          <w:sz w:val="28"/>
          <w:szCs w:val="28"/>
          <w:lang w:val="en-US" w:eastAsia="zh-CN"/>
        </w:rPr>
        <w:t>兴隆1-1井属于兴隆气田，兴隆气田位于万县复向斜中部拔山寺向斜，为一个低缓向斜构造带，构造呈北东向延伸，向南东倾伏，断层不发育。兴隆气田长兴组顶界整体处于低缓向斜构造带西北翼上斜坡，为油气的有利聚集区，气藏埋深4400-4650m。</w:t>
      </w:r>
    </w:p>
    <w:p>
      <w:pPr>
        <w:pStyle w:val="272"/>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hAnsi="宋体"/>
          <w:sz w:val="28"/>
          <w:szCs w:val="28"/>
          <w:lang w:val="en-US" w:eastAsia="zh-CN"/>
        </w:rPr>
      </w:pPr>
      <w:r>
        <w:rPr>
          <w:rFonts w:hint="eastAsia" w:hAnsi="宋体"/>
          <w:sz w:val="28"/>
          <w:szCs w:val="28"/>
          <w:lang w:val="en-US" w:eastAsia="zh-CN"/>
        </w:rPr>
        <w:t>兴隆气田长兴期位于开江-梁平陆棚西侧台缘礁滩相带，沉积背景与元坝气田相似，具有发育生物礁滩的背景条件。兴隆1井实钻证实长兴组生物礁滩储层发育，且有效储层主要分布在长二段四亚段。设计井长兴组长二段四亚段地震响应特征与兴隆1井相似，预测四亚段生物礁滩储层发育；利用波阻抗反演和流体因子预测储层的发育情况和含气性，设计井与兴隆1井相似，表现为低波阻抗、高流体因子，预测四亚段气层主体厚度34-37m，孔隙度5.4-6.1%。</w:t>
      </w:r>
    </w:p>
    <w:p>
      <w:pPr>
        <w:pStyle w:val="272"/>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hAnsi="宋体"/>
          <w:sz w:val="28"/>
          <w:szCs w:val="28"/>
          <w:lang w:val="en-US" w:eastAsia="zh-CN"/>
        </w:rPr>
      </w:pPr>
      <w:r>
        <w:rPr>
          <w:rFonts w:hint="eastAsia" w:hAnsi="宋体"/>
          <w:sz w:val="28"/>
          <w:szCs w:val="28"/>
          <w:lang w:val="en-US" w:eastAsia="zh-CN"/>
        </w:rPr>
        <w:t>兴隆气田长兴组气藏孔隙度3.22-11.09%，平均值5.87%，渗透率以0.01-1×10</w:t>
      </w:r>
      <w:r>
        <w:rPr>
          <w:rFonts w:hint="eastAsia" w:hAnsi="宋体"/>
          <w:sz w:val="28"/>
          <w:szCs w:val="28"/>
          <w:vertAlign w:val="superscript"/>
          <w:lang w:val="en-US" w:eastAsia="zh-CN"/>
        </w:rPr>
        <w:t>-3</w:t>
      </w:r>
      <w:r>
        <w:rPr>
          <w:rFonts w:hint="eastAsia" w:hAnsi="宋体"/>
          <w:sz w:val="28"/>
          <w:szCs w:val="28"/>
          <w:lang w:val="en-US" w:eastAsia="zh-CN"/>
        </w:rPr>
        <w:t>μm</w:t>
      </w:r>
      <w:r>
        <w:rPr>
          <w:rFonts w:hint="eastAsia" w:hAnsi="宋体"/>
          <w:sz w:val="28"/>
          <w:szCs w:val="28"/>
          <w:vertAlign w:val="superscript"/>
          <w:lang w:val="en-US" w:eastAsia="zh-CN"/>
        </w:rPr>
        <w:t>2</w:t>
      </w:r>
      <w:r>
        <w:rPr>
          <w:rFonts w:hint="eastAsia" w:hAnsi="宋体"/>
          <w:sz w:val="28"/>
          <w:szCs w:val="28"/>
          <w:lang w:val="en-US" w:eastAsia="zh-CN"/>
        </w:rPr>
        <w:t>为主，平均值0.3355×10</w:t>
      </w:r>
      <w:r>
        <w:rPr>
          <w:rFonts w:hint="eastAsia" w:hAnsi="宋体"/>
          <w:sz w:val="28"/>
          <w:szCs w:val="28"/>
          <w:vertAlign w:val="superscript"/>
          <w:lang w:val="en-US" w:eastAsia="zh-CN"/>
        </w:rPr>
        <w:t>-3</w:t>
      </w:r>
      <w:r>
        <w:rPr>
          <w:rFonts w:hint="eastAsia" w:hAnsi="宋体"/>
          <w:sz w:val="28"/>
          <w:szCs w:val="28"/>
          <w:lang w:val="en-US" w:eastAsia="zh-CN"/>
        </w:rPr>
        <w:t>μm</w:t>
      </w:r>
      <w:r>
        <w:rPr>
          <w:rFonts w:hint="eastAsia" w:hAnsi="宋体"/>
          <w:sz w:val="28"/>
          <w:szCs w:val="28"/>
          <w:vertAlign w:val="superscript"/>
          <w:lang w:val="en-US" w:eastAsia="zh-CN"/>
        </w:rPr>
        <w:t>2</w:t>
      </w:r>
      <w:r>
        <w:rPr>
          <w:rFonts w:hint="eastAsia" w:hAnsi="宋体"/>
          <w:sz w:val="28"/>
          <w:szCs w:val="28"/>
          <w:lang w:val="en-US" w:eastAsia="zh-CN"/>
        </w:rPr>
        <w:t>；H</w:t>
      </w:r>
      <w:r>
        <w:rPr>
          <w:rFonts w:hint="eastAsia" w:hAnsi="宋体"/>
          <w:sz w:val="28"/>
          <w:szCs w:val="28"/>
          <w:vertAlign w:val="subscript"/>
          <w:lang w:val="en-US" w:eastAsia="zh-CN"/>
        </w:rPr>
        <w:t>2</w:t>
      </w:r>
      <w:r>
        <w:rPr>
          <w:rFonts w:hint="eastAsia" w:hAnsi="宋体"/>
          <w:sz w:val="28"/>
          <w:szCs w:val="28"/>
          <w:lang w:val="en-US" w:eastAsia="zh-CN"/>
        </w:rPr>
        <w:t>S含量4.21-8.93%、102.70-128.00g/m³，CO</w:t>
      </w:r>
      <w:r>
        <w:rPr>
          <w:rFonts w:hint="eastAsia" w:hAnsi="宋体"/>
          <w:sz w:val="28"/>
          <w:szCs w:val="28"/>
          <w:vertAlign w:val="subscript"/>
          <w:lang w:val="en-US" w:eastAsia="zh-CN"/>
        </w:rPr>
        <w:t>2</w:t>
      </w:r>
      <w:r>
        <w:rPr>
          <w:rFonts w:hint="eastAsia" w:hAnsi="宋体"/>
          <w:sz w:val="28"/>
          <w:szCs w:val="28"/>
          <w:lang w:val="en-US" w:eastAsia="zh-CN"/>
        </w:rPr>
        <w:t>含量5.51-12.35%；地温梯度2.08℃/100m，压力系数1.24-1.26；气水界限-4250m。属于深-超深层、中低孔、中低渗、底水、高含硫化氢、中-高含二氧化碳、低地温梯度、常压、构造-岩性碳酸盐岩气藏。</w:t>
      </w:r>
    </w:p>
    <w:p>
      <w:pPr>
        <w:pStyle w:val="216"/>
        <w:keepNext w:val="0"/>
        <w:keepLines w:val="0"/>
        <w:pageBreakBefore w:val="0"/>
        <w:kinsoku/>
        <w:wordWrap/>
        <w:overflowPunct/>
        <w:topLinePunct w:val="0"/>
        <w:autoSpaceDE/>
        <w:autoSpaceDN/>
        <w:bidi w:val="0"/>
        <w:adjustRightInd w:val="0"/>
        <w:snapToGrid w:val="0"/>
        <w:spacing w:after="0" w:line="360" w:lineRule="auto"/>
        <w:ind w:firstLine="560" w:firstLineChars="200"/>
        <w:textAlignment w:val="auto"/>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2）井位简介</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eastAsia" w:ascii="Times New Roman" w:hAnsi="Times New Roman" w:cs="Times New Roman"/>
          <w:color w:val="000000"/>
          <w:sz w:val="28"/>
          <w:szCs w:val="28"/>
          <w:lang w:val="en-US" w:eastAsia="zh-CN"/>
        </w:rPr>
        <w:t>1）</w:t>
      </w:r>
      <w:r>
        <w:rPr>
          <w:rFonts w:hint="default" w:ascii="Times New Roman" w:hAnsi="Times New Roman" w:cs="Times New Roman"/>
          <w:color w:val="000000"/>
          <w:sz w:val="28"/>
          <w:szCs w:val="28"/>
        </w:rPr>
        <w:t>井号</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兴隆1-1井</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井别</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开发井</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3</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井型</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水平井</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color w:val="000000"/>
          <w:sz w:val="28"/>
          <w:szCs w:val="28"/>
          <w:lang w:eastAsia="zh-CN"/>
        </w:rPr>
      </w:pPr>
      <w:r>
        <w:rPr>
          <w:rFonts w:hint="default" w:ascii="Times New Roman" w:hAnsi="Times New Roman" w:cs="Times New Roman"/>
          <w:color w:val="000000"/>
          <w:sz w:val="28"/>
          <w:szCs w:val="28"/>
        </w:rPr>
        <w:t>4</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井位</w:t>
      </w:r>
      <w:r>
        <w:rPr>
          <w:rFonts w:hint="eastAsia" w:ascii="Times New Roman" w:hAnsi="Times New Roman" w:cs="Times New Roman"/>
          <w:color w:val="000000"/>
          <w:sz w:val="28"/>
          <w:szCs w:val="28"/>
          <w:lang w:eastAsia="zh-CN"/>
        </w:rPr>
        <w:t>：</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eastAsia" w:ascii="宋体" w:hAnsi="宋体" w:eastAsia="宋体" w:cs="宋体"/>
          <w:color w:val="000000"/>
          <w:sz w:val="28"/>
          <w:szCs w:val="28"/>
        </w:rPr>
        <w:t>①</w:t>
      </w:r>
      <w:r>
        <w:rPr>
          <w:rFonts w:hint="default" w:ascii="Times New Roman" w:hAnsi="Times New Roman" w:cs="Times New Roman"/>
          <w:color w:val="000000"/>
          <w:sz w:val="28"/>
          <w:szCs w:val="28"/>
        </w:rPr>
        <w:t>井位坐标</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纵（X）</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3392968.91  横（Y）</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19208041.80（复测）</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eastAsia" w:ascii="宋体" w:hAnsi="宋体" w:eastAsia="宋体" w:cs="宋体"/>
          <w:color w:val="000000"/>
          <w:sz w:val="28"/>
          <w:szCs w:val="28"/>
        </w:rPr>
        <w:t>②</w:t>
      </w:r>
      <w:r>
        <w:rPr>
          <w:rFonts w:hint="default" w:ascii="Times New Roman" w:hAnsi="Times New Roman" w:cs="Times New Roman"/>
          <w:color w:val="000000"/>
          <w:sz w:val="28"/>
          <w:szCs w:val="28"/>
        </w:rPr>
        <w:t>地面海拔</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317.54m（复测）</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eastAsia" w:ascii="宋体" w:hAnsi="宋体" w:eastAsia="宋体" w:cs="宋体"/>
          <w:color w:val="000000"/>
          <w:sz w:val="28"/>
          <w:szCs w:val="28"/>
        </w:rPr>
        <w:t>③</w:t>
      </w:r>
      <w:r>
        <w:rPr>
          <w:rFonts w:hint="default" w:ascii="Times New Roman" w:hAnsi="Times New Roman" w:cs="Times New Roman"/>
          <w:color w:val="000000"/>
          <w:sz w:val="28"/>
          <w:szCs w:val="28"/>
        </w:rPr>
        <w:t>方位修正角</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-1.73°</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eastAsia" w:ascii="宋体" w:hAnsi="宋体" w:eastAsia="宋体" w:cs="宋体"/>
          <w:color w:val="000000"/>
          <w:sz w:val="28"/>
          <w:szCs w:val="28"/>
        </w:rPr>
        <w:t>④</w:t>
      </w:r>
      <w:r>
        <w:rPr>
          <w:rFonts w:hint="default" w:ascii="Times New Roman" w:hAnsi="Times New Roman" w:cs="Times New Roman"/>
          <w:color w:val="000000"/>
          <w:sz w:val="28"/>
          <w:szCs w:val="28"/>
        </w:rPr>
        <w:t>构造位置</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四川盆地川东弧形高陡褶皱带万县复向斜中部拔山寺向斜</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eastAsia" w:ascii="宋体" w:hAnsi="宋体" w:eastAsia="宋体" w:cs="宋体"/>
          <w:color w:val="000000"/>
          <w:sz w:val="28"/>
          <w:szCs w:val="28"/>
        </w:rPr>
        <w:t>⑤</w:t>
      </w:r>
      <w:r>
        <w:rPr>
          <w:rFonts w:hint="default" w:ascii="Times New Roman" w:hAnsi="Times New Roman" w:cs="Times New Roman"/>
          <w:color w:val="000000"/>
          <w:sz w:val="28"/>
          <w:szCs w:val="28"/>
        </w:rPr>
        <w:t>地理位置</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重庆市梁平区福禄镇辣坪村6组</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5</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设计井深</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6830m，井深含补心高10m。</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6</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目的层</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二叠系上统长兴组长二段四亚段气层。</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color w:val="000000"/>
          <w:sz w:val="28"/>
          <w:szCs w:val="28"/>
          <w:lang w:eastAsia="zh-CN"/>
        </w:rPr>
      </w:pPr>
      <w:r>
        <w:rPr>
          <w:rFonts w:hint="default" w:ascii="Times New Roman" w:hAnsi="Times New Roman" w:cs="Times New Roman"/>
          <w:color w:val="000000"/>
          <w:sz w:val="28"/>
          <w:szCs w:val="28"/>
        </w:rPr>
        <w:t>7</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完钻层位及原则</w:t>
      </w:r>
      <w:r>
        <w:rPr>
          <w:rFonts w:hint="eastAsia" w:ascii="Times New Roman" w:hAnsi="Times New Roman" w:cs="Times New Roman"/>
          <w:color w:val="000000"/>
          <w:sz w:val="28"/>
          <w:szCs w:val="28"/>
          <w:lang w:eastAsia="zh-CN"/>
        </w:rPr>
        <w:t>：</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完钻层位</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二叠系上统长兴组二段。</w:t>
      </w:r>
    </w:p>
    <w:p>
      <w:pPr>
        <w:pStyle w:val="272"/>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完钻原则</w:t>
      </w:r>
      <w:r>
        <w:rPr>
          <w:rFonts w:hint="eastAsia" w:ascii="Times New Roman" w:hAnsi="Times New Roman" w:cs="Times New Roman"/>
          <w:color w:val="000000"/>
          <w:sz w:val="28"/>
          <w:szCs w:val="28"/>
          <w:lang w:eastAsia="zh-CN"/>
        </w:rPr>
        <w:t>：</w:t>
      </w:r>
      <w:r>
        <w:rPr>
          <w:rFonts w:hint="default" w:ascii="Times New Roman" w:hAnsi="Times New Roman" w:cs="Times New Roman"/>
          <w:color w:val="000000"/>
          <w:sz w:val="28"/>
          <w:szCs w:val="28"/>
        </w:rPr>
        <w:t>钻至B靶点留口袋完钻。</w:t>
      </w:r>
    </w:p>
    <w:p>
      <w:pPr>
        <w:pStyle w:val="216"/>
        <w:keepNext w:val="0"/>
        <w:keepLines w:val="0"/>
        <w:pageBreakBefore w:val="0"/>
        <w:kinsoku/>
        <w:wordWrap/>
        <w:overflowPunct/>
        <w:topLinePunct w:val="0"/>
        <w:autoSpaceDE/>
        <w:autoSpaceDN/>
        <w:bidi w:val="0"/>
        <w:adjustRightInd w:val="0"/>
        <w:snapToGrid w:val="0"/>
        <w:spacing w:after="0" w:line="360" w:lineRule="auto"/>
        <w:ind w:firstLine="560" w:firstLineChars="200"/>
        <w:jc w:val="both"/>
        <w:textAlignment w:val="auto"/>
        <w:rPr>
          <w:rFonts w:hint="eastAsia" w:ascii="Times New Roman" w:hAnsi="Times New Roman" w:eastAsia="宋体" w:cs="Times New Roman"/>
          <w:sz w:val="28"/>
          <w:szCs w:val="28"/>
          <w:lang w:eastAsia="zh-CN"/>
        </w:rPr>
      </w:pPr>
      <w:r>
        <w:rPr>
          <w:rFonts w:hint="default" w:ascii="Times New Roman" w:hAnsi="Times New Roman" w:cs="Times New Roman"/>
          <w:color w:val="000000"/>
          <w:kern w:val="0"/>
          <w:sz w:val="28"/>
          <w:szCs w:val="28"/>
        </w:rPr>
        <w:t>8</w:t>
      </w:r>
      <w:r>
        <w:rPr>
          <w:rFonts w:hint="eastAsia" w:ascii="Times New Roman" w:hAnsi="Times New Roman" w:cs="Times New Roman"/>
          <w:color w:val="000000"/>
          <w:kern w:val="0"/>
          <w:sz w:val="28"/>
          <w:szCs w:val="28"/>
          <w:lang w:eastAsia="zh-CN"/>
        </w:rPr>
        <w:t>）</w:t>
      </w:r>
      <w:r>
        <w:rPr>
          <w:rFonts w:hint="default" w:ascii="Times New Roman" w:hAnsi="Times New Roman" w:cs="Times New Roman"/>
          <w:color w:val="000000"/>
          <w:kern w:val="0"/>
          <w:sz w:val="28"/>
          <w:szCs w:val="28"/>
        </w:rPr>
        <w:t>完井方式</w:t>
      </w:r>
      <w:r>
        <w:rPr>
          <w:rFonts w:hint="eastAsia" w:ascii="Times New Roman" w:hAnsi="Times New Roman" w:cs="Times New Roman"/>
          <w:color w:val="000000"/>
          <w:kern w:val="0"/>
          <w:sz w:val="28"/>
          <w:szCs w:val="28"/>
          <w:lang w:eastAsia="zh-CN"/>
        </w:rPr>
        <w:t>：</w:t>
      </w:r>
      <w:r>
        <w:rPr>
          <w:rFonts w:hint="default" w:ascii="Times New Roman" w:hAnsi="Times New Roman" w:cs="Times New Roman"/>
          <w:color w:val="000000"/>
          <w:kern w:val="0"/>
          <w:sz w:val="28"/>
          <w:szCs w:val="28"/>
        </w:rPr>
        <w:t>衬管完井</w:t>
      </w:r>
      <w:r>
        <w:rPr>
          <w:rFonts w:hint="eastAsia" w:ascii="Times New Roman" w:hAnsi="Times New Roman" w:cs="Times New Roman"/>
          <w:color w:val="000000"/>
          <w:kern w:val="0"/>
          <w:sz w:val="28"/>
          <w:szCs w:val="28"/>
          <w:lang w:eastAsia="zh-CN"/>
        </w:rPr>
        <w:t>。</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val="en-US" w:eastAsia="zh-CN"/>
        </w:rPr>
        <w:t>（3）工程简介</w:t>
      </w:r>
    </w:p>
    <w:p>
      <w:pPr>
        <w:pStyle w:val="216"/>
        <w:adjustRightInd w:val="0"/>
        <w:snapToGrid w:val="0"/>
        <w:spacing w:after="0" w:line="360" w:lineRule="auto"/>
        <w:ind w:firstLine="480" w:firstLineChars="200"/>
        <w:rPr>
          <w:rFonts w:hint="default" w:eastAsia="宋体"/>
          <w:sz w:val="28"/>
          <w:szCs w:val="28"/>
          <w:lang w:val="en-US" w:eastAsia="zh-CN"/>
        </w:rPr>
      </w:pPr>
      <w:r>
        <w:rPr>
          <w:rFonts w:hint="eastAsia" w:ascii="Arial" w:hAnsi="Arial" w:cs="Arial"/>
          <w:b/>
          <w:bCs/>
          <w:color w:val="000000"/>
          <w:sz w:val="24"/>
        </w:rPr>
        <mc:AlternateContent>
          <mc:Choice Requires="wps">
            <w:drawing>
              <wp:anchor distT="0" distB="0" distL="114300" distR="114300" simplePos="0" relativeHeight="251714560" behindDoc="0" locked="0" layoutInCell="1" allowOverlap="1">
                <wp:simplePos x="0" y="0"/>
                <wp:positionH relativeFrom="column">
                  <wp:posOffset>2883535</wp:posOffset>
                </wp:positionH>
                <wp:positionV relativeFrom="paragraph">
                  <wp:posOffset>256540</wp:posOffset>
                </wp:positionV>
                <wp:extent cx="2358390" cy="3392805"/>
                <wp:effectExtent l="4445" t="4445" r="18415" b="12700"/>
                <wp:wrapNone/>
                <wp:docPr id="81" name="文本框 81"/>
                <wp:cNvGraphicFramePr/>
                <a:graphic xmlns:a="http://schemas.openxmlformats.org/drawingml/2006/main">
                  <a:graphicData uri="http://schemas.microsoft.com/office/word/2010/wordprocessingShape">
                    <wps:wsp>
                      <wps:cNvSpPr txBox="1"/>
                      <wps:spPr>
                        <a:xfrm>
                          <a:off x="0" y="0"/>
                          <a:ext cx="2358390" cy="33928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导管</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钻头: 24″(609.6mm)×60m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套管: 18-5/8″(473.1mm)×60m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水泥返高:地面</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一开：</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钻头:1</w:t>
                            </w:r>
                            <w:r>
                              <w:rPr>
                                <w:sz w:val="21"/>
                                <w:szCs w:val="21"/>
                              </w:rPr>
                              <w:t>6</w:t>
                            </w:r>
                            <w:r>
                              <w:rPr>
                                <w:rFonts w:hint="eastAsia"/>
                                <w:sz w:val="21"/>
                                <w:szCs w:val="21"/>
                              </w:rPr>
                              <w:t>″(</w:t>
                            </w:r>
                            <w:r>
                              <w:rPr>
                                <w:sz w:val="21"/>
                                <w:szCs w:val="21"/>
                              </w:rPr>
                              <w:t>406.4</w:t>
                            </w:r>
                            <w:r>
                              <w:rPr>
                                <w:rFonts w:hint="eastAsia"/>
                                <w:sz w:val="21"/>
                                <w:szCs w:val="21"/>
                              </w:rPr>
                              <w:t>mm)×602m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套管: 13-3/8″(339.7mm)×600m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水泥返高:地面</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二开：</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钻头: 12-1/4″(311.2mm)×2</w:t>
                            </w:r>
                            <w:r>
                              <w:rPr>
                                <w:sz w:val="21"/>
                                <w:szCs w:val="21"/>
                              </w:rPr>
                              <w:t>72</w:t>
                            </w:r>
                            <w:r>
                              <w:rPr>
                                <w:rFonts w:hint="eastAsia"/>
                                <w:sz w:val="21"/>
                                <w:szCs w:val="21"/>
                              </w:rPr>
                              <w:t>2m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套管: 10-3/4″(273.1mm)×2</w:t>
                            </w:r>
                            <w:r>
                              <w:rPr>
                                <w:sz w:val="21"/>
                                <w:szCs w:val="21"/>
                              </w:rPr>
                              <w:t>720</w:t>
                            </w:r>
                            <w:r>
                              <w:rPr>
                                <w:rFonts w:hint="eastAsia"/>
                                <w:sz w:val="21"/>
                                <w:szCs w:val="21"/>
                              </w:rPr>
                              <w:t>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水泥返高:地面</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三开：</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钻头: 9-1/2″(241.3mm)×5</w:t>
                            </w:r>
                            <w:r>
                              <w:rPr>
                                <w:sz w:val="21"/>
                                <w:szCs w:val="21"/>
                              </w:rPr>
                              <w:t>922</w:t>
                            </w:r>
                            <w:r>
                              <w:rPr>
                                <w:rFonts w:hint="eastAsia"/>
                                <w:sz w:val="21"/>
                                <w:szCs w:val="21"/>
                              </w:rPr>
                              <w:t>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套管</w:t>
                            </w:r>
                            <w:r>
                              <w:rPr>
                                <w:sz w:val="21"/>
                                <w:szCs w:val="21"/>
                              </w:rPr>
                              <w:t xml:space="preserve">: </w:t>
                            </w:r>
                            <w:r>
                              <w:rPr>
                                <w:rFonts w:hint="eastAsia"/>
                                <w:sz w:val="21"/>
                                <w:szCs w:val="21"/>
                              </w:rPr>
                              <w:t>7</w:t>
                            </w:r>
                            <w:r>
                              <w:rPr>
                                <w:sz w:val="21"/>
                                <w:szCs w:val="21"/>
                              </w:rPr>
                              <w:t>-5/8″</w:t>
                            </w:r>
                            <w:r>
                              <w:rPr>
                                <w:rFonts w:hint="eastAsia"/>
                                <w:sz w:val="21"/>
                                <w:szCs w:val="21"/>
                              </w:rPr>
                              <w:t xml:space="preserve"> </w:t>
                            </w:r>
                            <w:r>
                              <w:rPr>
                                <w:sz w:val="21"/>
                                <w:szCs w:val="21"/>
                              </w:rPr>
                              <w:t>(193.67</w:t>
                            </w:r>
                            <w:r>
                              <w:rPr>
                                <w:rFonts w:hint="eastAsia"/>
                                <w:sz w:val="21"/>
                                <w:szCs w:val="21"/>
                              </w:rPr>
                              <w:t xml:space="preserve">mm)× </w:t>
                            </w:r>
                            <w:r>
                              <w:rPr>
                                <w:sz w:val="21"/>
                                <w:szCs w:val="21"/>
                              </w:rPr>
                              <w:t>5920</w:t>
                            </w:r>
                            <w:r>
                              <w:rPr>
                                <w:rFonts w:hint="eastAsia"/>
                                <w:sz w:val="21"/>
                                <w:szCs w:val="21"/>
                              </w:rPr>
                              <w:t>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水泥返高:地面</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四开：</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 xml:space="preserve">钻头直径: </w:t>
                            </w:r>
                            <w:r>
                              <w:rPr>
                                <w:sz w:val="21"/>
                                <w:szCs w:val="21"/>
                              </w:rPr>
                              <w:t>6-1/2</w:t>
                            </w:r>
                            <w:r>
                              <w:rPr>
                                <w:rFonts w:hint="eastAsia"/>
                                <w:sz w:val="21"/>
                                <w:szCs w:val="21"/>
                              </w:rPr>
                              <w:t>″(165.1mm)×</w:t>
                            </w:r>
                            <w:r>
                              <w:rPr>
                                <w:sz w:val="21"/>
                                <w:szCs w:val="21"/>
                              </w:rPr>
                              <w:t>6830</w:t>
                            </w:r>
                            <w:r>
                              <w:rPr>
                                <w:rFonts w:hint="eastAsia"/>
                                <w:sz w:val="21"/>
                                <w:szCs w:val="21"/>
                              </w:rPr>
                              <w:t>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衬管外径</w:t>
                            </w:r>
                            <w:r>
                              <w:rPr>
                                <w:sz w:val="21"/>
                                <w:szCs w:val="21"/>
                              </w:rPr>
                              <w:t>: 5″</w:t>
                            </w:r>
                            <w:r>
                              <w:rPr>
                                <w:rFonts w:hint="eastAsia"/>
                                <w:sz w:val="21"/>
                                <w:szCs w:val="21"/>
                              </w:rPr>
                              <w:t xml:space="preserve"> </w:t>
                            </w:r>
                            <w:r>
                              <w:rPr>
                                <w:sz w:val="21"/>
                                <w:szCs w:val="21"/>
                              </w:rPr>
                              <w:t>(127</w:t>
                            </w:r>
                            <w:r>
                              <w:rPr>
                                <w:rFonts w:hint="eastAsia"/>
                                <w:sz w:val="21"/>
                                <w:szCs w:val="21"/>
                              </w:rPr>
                              <w:t xml:space="preserve">mm)× </w:t>
                            </w:r>
                            <w:r>
                              <w:rPr>
                                <w:sz w:val="21"/>
                                <w:szCs w:val="21"/>
                              </w:rPr>
                              <w:t>5620-6820</w:t>
                            </w:r>
                            <w:r>
                              <w:rPr>
                                <w:rFonts w:hint="eastAsia"/>
                                <w:sz w:val="21"/>
                                <w:szCs w:val="21"/>
                              </w:rPr>
                              <w:t>m</w:t>
                            </w:r>
                          </w:p>
                        </w:txbxContent>
                      </wps:txbx>
                      <wps:bodyPr upright="1"/>
                    </wps:wsp>
                  </a:graphicData>
                </a:graphic>
              </wp:anchor>
            </w:drawing>
          </mc:Choice>
          <mc:Fallback>
            <w:pict>
              <v:shape id="_x0000_s1026" o:spid="_x0000_s1026" o:spt="202" type="#_x0000_t202" style="position:absolute;left:0pt;margin-left:227.05pt;margin-top:20.2pt;height:267.15pt;width:185.7pt;z-index:251714560;mso-width-relative:page;mso-height-relative:page;" fillcolor="#FFFFFF" filled="t" stroked="t" coordsize="21600,21600" o:gfxdata="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W/vv2QAAAAoBAAAPAAAAAAAAAAEAIAAAACIA&#10;AABkcnMvZG93bnJldi54bWxQSwECFAAUAAAACACHTuJAvurW1wgCAAA5BAAADgAAAAAAAAABACAA&#10;AAAoAQAAZHJzL2Uyb0RvYy54bWxQSwUGAAAAAAYABgBZAQAAogUAAAAA&#10;">
                <v:fill on="t" focussize="0,0"/>
                <v:stroke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导管</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钻头: 24″(609.6mm)×60m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套管: 18-5/8″(473.1mm)×60m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水泥返高:地面</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一开：</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钻头:1</w:t>
                      </w:r>
                      <w:r>
                        <w:rPr>
                          <w:sz w:val="21"/>
                          <w:szCs w:val="21"/>
                        </w:rPr>
                        <w:t>6</w:t>
                      </w:r>
                      <w:r>
                        <w:rPr>
                          <w:rFonts w:hint="eastAsia"/>
                          <w:sz w:val="21"/>
                          <w:szCs w:val="21"/>
                        </w:rPr>
                        <w:t>″(</w:t>
                      </w:r>
                      <w:r>
                        <w:rPr>
                          <w:sz w:val="21"/>
                          <w:szCs w:val="21"/>
                        </w:rPr>
                        <w:t>406.4</w:t>
                      </w:r>
                      <w:r>
                        <w:rPr>
                          <w:rFonts w:hint="eastAsia"/>
                          <w:sz w:val="21"/>
                          <w:szCs w:val="21"/>
                        </w:rPr>
                        <w:t>mm)×602m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套管: 13-3/8″(339.7mm)×600m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水泥返高:地面</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二开：</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钻头: 12-1/4″(311.2mm)×2</w:t>
                      </w:r>
                      <w:r>
                        <w:rPr>
                          <w:sz w:val="21"/>
                          <w:szCs w:val="21"/>
                        </w:rPr>
                        <w:t>72</w:t>
                      </w:r>
                      <w:r>
                        <w:rPr>
                          <w:rFonts w:hint="eastAsia"/>
                          <w:sz w:val="21"/>
                          <w:szCs w:val="21"/>
                        </w:rPr>
                        <w:t>2m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套管: 10-3/4″(273.1mm)×2</w:t>
                      </w:r>
                      <w:r>
                        <w:rPr>
                          <w:sz w:val="21"/>
                          <w:szCs w:val="21"/>
                        </w:rPr>
                        <w:t>720</w:t>
                      </w:r>
                      <w:r>
                        <w:rPr>
                          <w:rFonts w:hint="eastAsia"/>
                          <w:sz w:val="21"/>
                          <w:szCs w:val="21"/>
                        </w:rPr>
                        <w:t>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水泥返高:地面</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三开：</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钻头: 9-1/2″(241.3mm)×5</w:t>
                      </w:r>
                      <w:r>
                        <w:rPr>
                          <w:sz w:val="21"/>
                          <w:szCs w:val="21"/>
                        </w:rPr>
                        <w:t>922</w:t>
                      </w:r>
                      <w:r>
                        <w:rPr>
                          <w:rFonts w:hint="eastAsia"/>
                          <w:sz w:val="21"/>
                          <w:szCs w:val="21"/>
                        </w:rPr>
                        <w:t>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套管</w:t>
                      </w:r>
                      <w:r>
                        <w:rPr>
                          <w:sz w:val="21"/>
                          <w:szCs w:val="21"/>
                        </w:rPr>
                        <w:t xml:space="preserve">: </w:t>
                      </w:r>
                      <w:r>
                        <w:rPr>
                          <w:rFonts w:hint="eastAsia"/>
                          <w:sz w:val="21"/>
                          <w:szCs w:val="21"/>
                        </w:rPr>
                        <w:t>7</w:t>
                      </w:r>
                      <w:r>
                        <w:rPr>
                          <w:sz w:val="21"/>
                          <w:szCs w:val="21"/>
                        </w:rPr>
                        <w:t>-5/8″</w:t>
                      </w:r>
                      <w:r>
                        <w:rPr>
                          <w:rFonts w:hint="eastAsia"/>
                          <w:sz w:val="21"/>
                          <w:szCs w:val="21"/>
                        </w:rPr>
                        <w:t xml:space="preserve"> </w:t>
                      </w:r>
                      <w:r>
                        <w:rPr>
                          <w:sz w:val="21"/>
                          <w:szCs w:val="21"/>
                        </w:rPr>
                        <w:t>(193.67</w:t>
                      </w:r>
                      <w:r>
                        <w:rPr>
                          <w:rFonts w:hint="eastAsia"/>
                          <w:sz w:val="21"/>
                          <w:szCs w:val="21"/>
                        </w:rPr>
                        <w:t xml:space="preserve">mm)× </w:t>
                      </w:r>
                      <w:r>
                        <w:rPr>
                          <w:sz w:val="21"/>
                          <w:szCs w:val="21"/>
                        </w:rPr>
                        <w:t>5920</w:t>
                      </w:r>
                      <w:r>
                        <w:rPr>
                          <w:rFonts w:hint="eastAsia"/>
                          <w:sz w:val="21"/>
                          <w:szCs w:val="21"/>
                        </w:rPr>
                        <w:t>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水泥返高:地面</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四开：</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 xml:space="preserve">钻头直径: </w:t>
                      </w:r>
                      <w:r>
                        <w:rPr>
                          <w:sz w:val="21"/>
                          <w:szCs w:val="21"/>
                        </w:rPr>
                        <w:t>6-1/2</w:t>
                      </w:r>
                      <w:r>
                        <w:rPr>
                          <w:rFonts w:hint="eastAsia"/>
                          <w:sz w:val="21"/>
                          <w:szCs w:val="21"/>
                        </w:rPr>
                        <w:t>″(165.1mm)×</w:t>
                      </w:r>
                      <w:r>
                        <w:rPr>
                          <w:sz w:val="21"/>
                          <w:szCs w:val="21"/>
                        </w:rPr>
                        <w:t>6830</w:t>
                      </w:r>
                      <w:r>
                        <w:rPr>
                          <w:rFonts w:hint="eastAsia"/>
                          <w:sz w:val="21"/>
                          <w:szCs w:val="21"/>
                        </w:rPr>
                        <w:t>m</w:t>
                      </w:r>
                    </w:p>
                    <w:p>
                      <w:pPr>
                        <w:keepNext w:val="0"/>
                        <w:keepLines w:val="0"/>
                        <w:pageBreakBefore w:val="0"/>
                        <w:widowControl w:val="0"/>
                        <w:kinsoku/>
                        <w:wordWrap/>
                        <w:overflowPunct/>
                        <w:topLinePunct w:val="0"/>
                        <w:autoSpaceDE/>
                        <w:autoSpaceDN/>
                        <w:bidi w:val="0"/>
                        <w:adjustRightInd w:val="0"/>
                        <w:snapToGrid w:val="0"/>
                        <w:textAlignment w:val="auto"/>
                        <w:rPr>
                          <w:sz w:val="21"/>
                          <w:szCs w:val="21"/>
                        </w:rPr>
                      </w:pPr>
                      <w:r>
                        <w:rPr>
                          <w:rFonts w:hint="eastAsia"/>
                          <w:sz w:val="21"/>
                          <w:szCs w:val="21"/>
                        </w:rPr>
                        <w:t>衬管外径</w:t>
                      </w:r>
                      <w:r>
                        <w:rPr>
                          <w:sz w:val="21"/>
                          <w:szCs w:val="21"/>
                        </w:rPr>
                        <w:t>: 5″</w:t>
                      </w:r>
                      <w:r>
                        <w:rPr>
                          <w:rFonts w:hint="eastAsia"/>
                          <w:sz w:val="21"/>
                          <w:szCs w:val="21"/>
                        </w:rPr>
                        <w:t xml:space="preserve"> </w:t>
                      </w:r>
                      <w:r>
                        <w:rPr>
                          <w:sz w:val="21"/>
                          <w:szCs w:val="21"/>
                        </w:rPr>
                        <w:t>(127</w:t>
                      </w:r>
                      <w:r>
                        <w:rPr>
                          <w:rFonts w:hint="eastAsia"/>
                          <w:sz w:val="21"/>
                          <w:szCs w:val="21"/>
                        </w:rPr>
                        <w:t xml:space="preserve">mm)× </w:t>
                      </w:r>
                      <w:r>
                        <w:rPr>
                          <w:sz w:val="21"/>
                          <w:szCs w:val="21"/>
                        </w:rPr>
                        <w:t>5620-6820</w:t>
                      </w:r>
                      <w:r>
                        <w:rPr>
                          <w:rFonts w:hint="eastAsia"/>
                          <w:sz w:val="21"/>
                          <w:szCs w:val="21"/>
                        </w:rPr>
                        <w:t>m</w:t>
                      </w:r>
                    </w:p>
                  </w:txbxContent>
                </v:textbox>
              </v:shape>
            </w:pict>
          </mc:Fallback>
        </mc:AlternateContent>
      </w:r>
      <w:r>
        <w:rPr>
          <w:rFonts w:hint="eastAsia"/>
          <w:sz w:val="28"/>
          <w:szCs w:val="28"/>
          <w:lang w:val="en-US" w:eastAsia="zh-CN"/>
        </w:rPr>
        <w:t>1）井身结构及设计数据</w:t>
      </w:r>
    </w:p>
    <w:p>
      <w:pPr>
        <w:pStyle w:val="216"/>
        <w:adjustRightInd w:val="0"/>
        <w:snapToGrid w:val="0"/>
        <w:spacing w:after="0" w:line="360" w:lineRule="auto"/>
        <w:ind w:firstLine="420" w:firstLineChars="200"/>
        <w:rPr>
          <w:rFonts w:hint="eastAsia"/>
          <w:sz w:val="28"/>
          <w:szCs w:val="28"/>
        </w:rPr>
      </w:pPr>
      <w:r>
        <w:rPr>
          <w:rFonts w:hint="eastAsia"/>
          <w:lang w:val="en-US" w:eastAsia="zh-CN"/>
        </w:rPr>
        <w:t xml:space="preserve">    </w:t>
      </w:r>
      <w:r>
        <w:drawing>
          <wp:inline distT="0" distB="0" distL="114300" distR="114300">
            <wp:extent cx="2344420" cy="3300730"/>
            <wp:effectExtent l="0" t="0" r="17780" b="139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7"/>
                    <a:stretch>
                      <a:fillRect/>
                    </a:stretch>
                  </pic:blipFill>
                  <pic:spPr>
                    <a:xfrm>
                      <a:off x="0" y="0"/>
                      <a:ext cx="2344420" cy="3300730"/>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b/>
          <w:bCs/>
          <w:sz w:val="28"/>
          <w:szCs w:val="28"/>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7  井身结构及设计数据</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jc w:val="both"/>
        <w:textAlignment w:val="auto"/>
        <w:rPr>
          <w:rFonts w:hint="default" w:eastAsia="宋体"/>
          <w:sz w:val="28"/>
          <w:szCs w:val="28"/>
          <w:lang w:val="en-US" w:eastAsia="zh-CN"/>
        </w:rPr>
      </w:pPr>
      <w:r>
        <w:rPr>
          <w:rFonts w:hint="eastAsia"/>
          <w:sz w:val="28"/>
          <w:szCs w:val="28"/>
          <w:lang w:val="en-US" w:eastAsia="zh-CN"/>
        </w:rPr>
        <w:t>2）基础数据</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基础数据见下表。</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sz w:val="28"/>
          <w:szCs w:val="28"/>
        </w:rPr>
      </w:pPr>
      <w:r>
        <w:rPr>
          <w:rFonts w:hint="default" w:ascii="Times New Roman" w:hAnsi="Times New Roman" w:eastAsia="宋体" w:cs="Times New Roman"/>
          <w:b/>
          <w:color w:val="000000"/>
          <w:sz w:val="24"/>
          <w:lang w:val="en-US" w:eastAsia="zh-CN"/>
        </w:rPr>
        <w:t>表5.1-</w:t>
      </w:r>
      <w:r>
        <w:rPr>
          <w:rFonts w:hint="eastAsia" w:cs="Times New Roman"/>
          <w:b/>
          <w:color w:val="000000"/>
          <w:sz w:val="24"/>
          <w:lang w:val="en-US" w:eastAsia="zh-CN"/>
        </w:rPr>
        <w:t xml:space="preserve">4 </w:t>
      </w:r>
      <w:r>
        <w:rPr>
          <w:rFonts w:hint="default" w:ascii="Times New Roman" w:hAnsi="Times New Roman" w:eastAsia="宋体" w:cs="Times New Roman"/>
          <w:b/>
          <w:color w:val="000000"/>
          <w:sz w:val="24"/>
          <w:lang w:val="en-US" w:eastAsia="zh-CN"/>
        </w:rPr>
        <w:t xml:space="preserve"> </w:t>
      </w:r>
      <w:r>
        <w:rPr>
          <w:rFonts w:hint="eastAsia" w:cs="Times New Roman"/>
          <w:b/>
          <w:color w:val="000000"/>
          <w:sz w:val="24"/>
          <w:lang w:val="en-US" w:eastAsia="zh-CN"/>
        </w:rPr>
        <w:t>兴隆1-1井基础数据一览表</w:t>
      </w:r>
    </w:p>
    <w:tbl>
      <w:tblPr>
        <w:tblStyle w:val="52"/>
        <w:tblW w:w="502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643"/>
        <w:gridCol w:w="1259"/>
        <w:gridCol w:w="1329"/>
        <w:gridCol w:w="1154"/>
        <w:gridCol w:w="1154"/>
        <w:gridCol w:w="802"/>
        <w:gridCol w:w="10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982"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b/>
                <w:bCs/>
              </w:rPr>
            </w:pPr>
            <w:r>
              <w:rPr>
                <w:rFonts w:hint="default"/>
                <w:b/>
                <w:bCs/>
              </w:rPr>
              <w:t>设计坐标</w:t>
            </w:r>
          </w:p>
        </w:tc>
        <w:tc>
          <w:tcPr>
            <w:tcW w:w="752"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b/>
                <w:bCs/>
              </w:rPr>
            </w:pPr>
            <w:r>
              <w:rPr>
                <w:rFonts w:hint="default"/>
                <w:b/>
                <w:bCs/>
              </w:rPr>
              <w:t>纵坐标（X）</w:t>
            </w:r>
          </w:p>
          <w:p>
            <w:pPr>
              <w:pStyle w:val="273"/>
              <w:keepNext w:val="0"/>
              <w:keepLines w:val="0"/>
              <w:suppressLineNumbers w:val="0"/>
              <w:spacing w:before="0" w:beforeAutospacing="0" w:after="0" w:afterAutospacing="0"/>
              <w:ind w:left="0" w:right="0"/>
              <w:rPr>
                <w:rFonts w:hint="default"/>
                <w:b/>
                <w:bCs/>
              </w:rPr>
            </w:pPr>
            <w:r>
              <w:rPr>
                <w:rFonts w:hint="default"/>
                <w:b/>
                <w:bCs/>
              </w:rPr>
              <w:t>（m）</w:t>
            </w:r>
          </w:p>
        </w:tc>
        <w:tc>
          <w:tcPr>
            <w:tcW w:w="794"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b/>
                <w:bCs/>
              </w:rPr>
            </w:pPr>
            <w:r>
              <w:rPr>
                <w:rFonts w:hint="default"/>
                <w:b/>
                <w:bCs/>
              </w:rPr>
              <w:t>横坐标（Y）</w:t>
            </w:r>
          </w:p>
          <w:p>
            <w:pPr>
              <w:pStyle w:val="273"/>
              <w:keepNext w:val="0"/>
              <w:keepLines w:val="0"/>
              <w:suppressLineNumbers w:val="0"/>
              <w:spacing w:before="0" w:beforeAutospacing="0" w:after="0" w:afterAutospacing="0"/>
              <w:ind w:left="0" w:right="0"/>
              <w:rPr>
                <w:rFonts w:hint="default"/>
                <w:b/>
                <w:bCs/>
              </w:rPr>
            </w:pPr>
            <w:r>
              <w:rPr>
                <w:rFonts w:hint="default"/>
                <w:b/>
                <w:bCs/>
              </w:rPr>
              <w:t>（m）</w:t>
            </w:r>
          </w:p>
        </w:tc>
        <w:tc>
          <w:tcPr>
            <w:tcW w:w="68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b/>
                <w:bCs/>
              </w:rPr>
            </w:pPr>
            <w:r>
              <w:rPr>
                <w:rFonts w:hint="eastAsia"/>
                <w:b/>
                <w:bCs/>
              </w:rPr>
              <w:t>海拔</w:t>
            </w:r>
          </w:p>
          <w:p>
            <w:pPr>
              <w:pStyle w:val="273"/>
              <w:keepNext w:val="0"/>
              <w:keepLines w:val="0"/>
              <w:suppressLineNumbers w:val="0"/>
              <w:spacing w:before="0" w:beforeAutospacing="0" w:after="0" w:afterAutospacing="0"/>
              <w:ind w:left="0" w:right="0"/>
              <w:rPr>
                <w:rFonts w:hint="default"/>
                <w:b/>
                <w:bCs/>
              </w:rPr>
            </w:pPr>
            <w:r>
              <w:rPr>
                <w:rFonts w:hint="default"/>
                <w:b/>
                <w:bCs/>
              </w:rPr>
              <w:t>（m）</w:t>
            </w:r>
          </w:p>
        </w:tc>
        <w:tc>
          <w:tcPr>
            <w:tcW w:w="68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b/>
                <w:bCs/>
              </w:rPr>
            </w:pPr>
            <w:r>
              <w:rPr>
                <w:rFonts w:hint="default"/>
                <w:b/>
                <w:bCs/>
              </w:rPr>
              <w:t>设计垂深</w:t>
            </w:r>
          </w:p>
          <w:p>
            <w:pPr>
              <w:pStyle w:val="273"/>
              <w:keepNext w:val="0"/>
              <w:keepLines w:val="0"/>
              <w:suppressLineNumbers w:val="0"/>
              <w:spacing w:before="0" w:beforeAutospacing="0" w:after="0" w:afterAutospacing="0"/>
              <w:ind w:left="0" w:right="0"/>
              <w:rPr>
                <w:rFonts w:hint="default"/>
                <w:b/>
                <w:bCs/>
              </w:rPr>
            </w:pPr>
            <w:r>
              <w:rPr>
                <w:rFonts w:hint="default"/>
                <w:b/>
                <w:bCs/>
              </w:rPr>
              <w:t>（m）</w:t>
            </w:r>
          </w:p>
        </w:tc>
        <w:tc>
          <w:tcPr>
            <w:tcW w:w="47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b/>
                <w:bCs/>
              </w:rPr>
            </w:pPr>
            <w:r>
              <w:rPr>
                <w:rFonts w:hint="default"/>
                <w:b/>
                <w:bCs/>
              </w:rPr>
              <w:t>设计位移</w:t>
            </w:r>
          </w:p>
          <w:p>
            <w:pPr>
              <w:pStyle w:val="273"/>
              <w:keepNext w:val="0"/>
              <w:keepLines w:val="0"/>
              <w:suppressLineNumbers w:val="0"/>
              <w:spacing w:before="0" w:beforeAutospacing="0" w:after="0" w:afterAutospacing="0"/>
              <w:ind w:left="0" w:right="0"/>
              <w:rPr>
                <w:rFonts w:hint="default"/>
                <w:b/>
                <w:bCs/>
              </w:rPr>
            </w:pPr>
            <w:r>
              <w:rPr>
                <w:rFonts w:hint="default"/>
                <w:b/>
                <w:bCs/>
              </w:rPr>
              <w:t>（m）</w:t>
            </w:r>
          </w:p>
        </w:tc>
        <w:tc>
          <w:tcPr>
            <w:tcW w:w="615"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b/>
                <w:bCs/>
              </w:rPr>
            </w:pPr>
            <w:r>
              <w:rPr>
                <w:rFonts w:hint="default"/>
                <w:b/>
                <w:bCs/>
              </w:rPr>
              <w:t>设计方位</w:t>
            </w:r>
          </w:p>
          <w:p>
            <w:pPr>
              <w:pStyle w:val="273"/>
              <w:keepNext w:val="0"/>
              <w:keepLines w:val="0"/>
              <w:suppressLineNumbers w:val="0"/>
              <w:spacing w:before="0" w:beforeAutospacing="0" w:after="0" w:afterAutospacing="0"/>
              <w:ind w:left="0" w:right="0"/>
              <w:rPr>
                <w:rFonts w:hint="default"/>
                <w:b/>
                <w:bCs/>
              </w:rPr>
            </w:pPr>
            <w:r>
              <w:rPr>
                <w:rFonts w:hint="default"/>
                <w:b/>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82"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井口</w:t>
            </w:r>
            <w:r>
              <w:rPr>
                <w:rFonts w:hint="eastAsia"/>
              </w:rPr>
              <w:t>（复测）</w:t>
            </w:r>
          </w:p>
        </w:tc>
        <w:tc>
          <w:tcPr>
            <w:tcW w:w="752"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3392</w:t>
            </w:r>
            <w:r>
              <w:rPr>
                <w:rFonts w:hint="eastAsia"/>
              </w:rPr>
              <w:t>968.91</w:t>
            </w:r>
          </w:p>
        </w:tc>
        <w:tc>
          <w:tcPr>
            <w:tcW w:w="794"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19208</w:t>
            </w:r>
            <w:r>
              <w:rPr>
                <w:rFonts w:hint="eastAsia"/>
              </w:rPr>
              <w:t>041.80</w:t>
            </w:r>
          </w:p>
        </w:tc>
        <w:tc>
          <w:tcPr>
            <w:tcW w:w="68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p>
        </w:tc>
        <w:tc>
          <w:tcPr>
            <w:tcW w:w="68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p>
        </w:tc>
        <w:tc>
          <w:tcPr>
            <w:tcW w:w="47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p>
        </w:tc>
        <w:tc>
          <w:tcPr>
            <w:tcW w:w="615"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82"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A靶点</w:t>
            </w:r>
          </w:p>
        </w:tc>
        <w:tc>
          <w:tcPr>
            <w:tcW w:w="752"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3394262</w:t>
            </w:r>
            <w:r>
              <w:rPr>
                <w:rFonts w:hint="default"/>
              </w:rPr>
              <w:t>.00</w:t>
            </w:r>
          </w:p>
        </w:tc>
        <w:tc>
          <w:tcPr>
            <w:tcW w:w="794"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19211000</w:t>
            </w:r>
            <w:r>
              <w:rPr>
                <w:rFonts w:hint="default"/>
              </w:rPr>
              <w:t>.00</w:t>
            </w:r>
          </w:p>
        </w:tc>
        <w:tc>
          <w:tcPr>
            <w:tcW w:w="68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eastAsia"/>
              </w:rPr>
              <w:t>-4176.</w:t>
            </w:r>
            <w:r>
              <w:rPr>
                <w:rFonts w:hint="default"/>
              </w:rPr>
              <w:t>00</w:t>
            </w:r>
          </w:p>
        </w:tc>
        <w:tc>
          <w:tcPr>
            <w:tcW w:w="68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eastAsia"/>
              </w:rPr>
              <w:t>450</w:t>
            </w:r>
            <w:r>
              <w:rPr>
                <w:rFonts w:hint="default"/>
              </w:rPr>
              <w:t>4.00</w:t>
            </w:r>
          </w:p>
        </w:tc>
        <w:tc>
          <w:tcPr>
            <w:tcW w:w="47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bookmarkStart w:id="119" w:name="_Hlk79153255"/>
            <w:r>
              <w:rPr>
                <w:rFonts w:hint="default"/>
              </w:rPr>
              <w:t>3228.47</w:t>
            </w:r>
            <w:bookmarkEnd w:id="119"/>
          </w:p>
        </w:tc>
        <w:tc>
          <w:tcPr>
            <w:tcW w:w="615"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66.39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82"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B靶点</w:t>
            </w:r>
          </w:p>
        </w:tc>
        <w:tc>
          <w:tcPr>
            <w:tcW w:w="752"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3394476</w:t>
            </w:r>
            <w:r>
              <w:rPr>
                <w:rFonts w:hint="default"/>
              </w:rPr>
              <w:t>.00</w:t>
            </w:r>
          </w:p>
        </w:tc>
        <w:tc>
          <w:tcPr>
            <w:tcW w:w="794"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19211500</w:t>
            </w:r>
            <w:r>
              <w:rPr>
                <w:rFonts w:hint="default"/>
              </w:rPr>
              <w:t>.00</w:t>
            </w:r>
          </w:p>
        </w:tc>
        <w:tc>
          <w:tcPr>
            <w:tcW w:w="68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eastAsia"/>
              </w:rPr>
              <w:t>-4215</w:t>
            </w:r>
            <w:r>
              <w:rPr>
                <w:rFonts w:hint="default"/>
              </w:rPr>
              <w:t>.00</w:t>
            </w:r>
          </w:p>
        </w:tc>
        <w:tc>
          <w:tcPr>
            <w:tcW w:w="68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eastAsia"/>
              </w:rPr>
              <w:t>454</w:t>
            </w:r>
            <w:r>
              <w:rPr>
                <w:rFonts w:hint="default"/>
              </w:rPr>
              <w:t>3.00</w:t>
            </w:r>
          </w:p>
        </w:tc>
        <w:tc>
          <w:tcPr>
            <w:tcW w:w="479"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default"/>
              </w:rPr>
              <w:t>3772.33</w:t>
            </w:r>
          </w:p>
        </w:tc>
        <w:tc>
          <w:tcPr>
            <w:tcW w:w="615"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66.45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7"/>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方位修正角：  -1.73°     磁倾角：47.99°   磁场强度：50773.76nT</w:t>
            </w:r>
          </w:p>
        </w:tc>
      </w:tr>
    </w:tbl>
    <w:p>
      <w:pPr>
        <w:pStyle w:val="216"/>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auto"/>
        <w:rPr>
          <w:rFonts w:hint="eastAsia"/>
          <w:sz w:val="28"/>
          <w:szCs w:val="28"/>
        </w:rPr>
      </w:pPr>
    </w:p>
    <w:tbl>
      <w:tblPr>
        <w:tblStyle w:val="52"/>
        <w:tblW w:w="49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593"/>
        <w:gridCol w:w="1137"/>
        <w:gridCol w:w="825"/>
        <w:gridCol w:w="1943"/>
        <w:gridCol w:w="1565"/>
        <w:gridCol w:w="12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960" w:type="pct"/>
            <w:vMerge w:val="restar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设计垂深</w:t>
            </w:r>
          </w:p>
          <w:p>
            <w:pPr>
              <w:pStyle w:val="273"/>
              <w:keepNext w:val="0"/>
              <w:keepLines w:val="0"/>
              <w:suppressLineNumbers w:val="0"/>
              <w:spacing w:before="0" w:beforeAutospacing="0" w:after="0" w:afterAutospacing="0"/>
              <w:ind w:left="0" w:right="0"/>
              <w:rPr>
                <w:rFonts w:hint="default"/>
              </w:rPr>
            </w:pPr>
            <w:r>
              <w:rPr>
                <w:rFonts w:hint="default"/>
              </w:rPr>
              <w:t>(m)</w:t>
            </w:r>
          </w:p>
        </w:tc>
        <w:tc>
          <w:tcPr>
            <w:tcW w:w="685"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default"/>
              </w:rPr>
              <w:t>A点</w:t>
            </w:r>
          </w:p>
        </w:tc>
        <w:tc>
          <w:tcPr>
            <w:tcW w:w="497"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450</w:t>
            </w:r>
            <w:r>
              <w:rPr>
                <w:rFonts w:hint="default"/>
              </w:rPr>
              <w:t>4.00</w:t>
            </w:r>
          </w:p>
        </w:tc>
        <w:tc>
          <w:tcPr>
            <w:tcW w:w="2114" w:type="pct"/>
            <w:gridSpan w:val="2"/>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造斜点深度(m)</w:t>
            </w:r>
          </w:p>
        </w:tc>
        <w:tc>
          <w:tcPr>
            <w:tcW w:w="744"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1</w:t>
            </w:r>
            <w:r>
              <w:rPr>
                <w:rFonts w:hint="default"/>
              </w:rPr>
              <w:t>900.00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960" w:type="pct"/>
            <w:vMerge w:val="continue"/>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p>
        </w:tc>
        <w:tc>
          <w:tcPr>
            <w:tcW w:w="685"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default"/>
              </w:rPr>
              <w:t>B点</w:t>
            </w:r>
          </w:p>
        </w:tc>
        <w:tc>
          <w:tcPr>
            <w:tcW w:w="497"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454</w:t>
            </w:r>
            <w:r>
              <w:rPr>
                <w:rFonts w:hint="default"/>
              </w:rPr>
              <w:t>3.00</w:t>
            </w:r>
          </w:p>
        </w:tc>
        <w:tc>
          <w:tcPr>
            <w:tcW w:w="2114" w:type="pct"/>
            <w:gridSpan w:val="2"/>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第</w:t>
            </w:r>
            <w:r>
              <w:rPr>
                <w:rFonts w:hint="default"/>
              </w:rPr>
              <w:t>一造率斜(°／100m)</w:t>
            </w:r>
          </w:p>
        </w:tc>
        <w:tc>
          <w:tcPr>
            <w:tcW w:w="744"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1</w:t>
            </w:r>
            <w:r>
              <w:rPr>
                <w:rFonts w:hint="default"/>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960"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靶前位移（m）</w:t>
            </w:r>
          </w:p>
        </w:tc>
        <w:tc>
          <w:tcPr>
            <w:tcW w:w="1182" w:type="pct"/>
            <w:gridSpan w:val="2"/>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default"/>
              </w:rPr>
              <w:t>3228.47</w:t>
            </w:r>
          </w:p>
        </w:tc>
        <w:tc>
          <w:tcPr>
            <w:tcW w:w="2114" w:type="pct"/>
            <w:gridSpan w:val="2"/>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第</w:t>
            </w:r>
            <w:r>
              <w:rPr>
                <w:rFonts w:hint="eastAsia"/>
              </w:rPr>
              <w:t>二/三</w:t>
            </w:r>
            <w:r>
              <w:rPr>
                <w:rFonts w:hint="default"/>
              </w:rPr>
              <w:t>造率斜(°／100m)</w:t>
            </w:r>
          </w:p>
        </w:tc>
        <w:tc>
          <w:tcPr>
            <w:tcW w:w="744"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1</w:t>
            </w:r>
            <w:r>
              <w:rPr>
                <w:rFonts w:hint="default"/>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960" w:type="pct"/>
            <w:vMerge w:val="restar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设计方位</w:t>
            </w:r>
          </w:p>
          <w:p>
            <w:pPr>
              <w:pStyle w:val="273"/>
              <w:keepNext w:val="0"/>
              <w:keepLines w:val="0"/>
              <w:suppressLineNumbers w:val="0"/>
              <w:spacing w:before="0" w:beforeAutospacing="0" w:after="0" w:afterAutospacing="0"/>
              <w:ind w:left="0" w:right="0"/>
              <w:rPr>
                <w:rFonts w:hint="default"/>
              </w:rPr>
            </w:pPr>
            <w:r>
              <w:rPr>
                <w:rFonts w:hint="default"/>
              </w:rPr>
              <w:t>(°)</w:t>
            </w:r>
          </w:p>
        </w:tc>
        <w:tc>
          <w:tcPr>
            <w:tcW w:w="685"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default"/>
              </w:rPr>
              <w:t>A点</w:t>
            </w:r>
          </w:p>
        </w:tc>
        <w:tc>
          <w:tcPr>
            <w:tcW w:w="497"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66.39</w:t>
            </w:r>
          </w:p>
        </w:tc>
        <w:tc>
          <w:tcPr>
            <w:tcW w:w="1171"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水平段</w:t>
            </w:r>
          </w:p>
        </w:tc>
        <w:tc>
          <w:tcPr>
            <w:tcW w:w="943"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default"/>
              </w:rPr>
              <w:t>方位(°)</w:t>
            </w:r>
          </w:p>
        </w:tc>
        <w:tc>
          <w:tcPr>
            <w:tcW w:w="744"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长度（m）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960" w:type="pct"/>
            <w:vMerge w:val="continue"/>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p>
        </w:tc>
        <w:tc>
          <w:tcPr>
            <w:tcW w:w="685"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default"/>
              </w:rPr>
              <w:t>B点</w:t>
            </w:r>
          </w:p>
        </w:tc>
        <w:tc>
          <w:tcPr>
            <w:tcW w:w="497"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66.45</w:t>
            </w:r>
          </w:p>
        </w:tc>
        <w:tc>
          <w:tcPr>
            <w:tcW w:w="1171"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eastAsia"/>
              </w:rPr>
              <w:t>A-B</w:t>
            </w:r>
          </w:p>
        </w:tc>
        <w:tc>
          <w:tcPr>
            <w:tcW w:w="943"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eastAsia"/>
              </w:rPr>
              <w:t>6</w:t>
            </w:r>
            <w:r>
              <w:rPr>
                <w:rFonts w:hint="default"/>
              </w:rPr>
              <w:t>6.83</w:t>
            </w:r>
          </w:p>
        </w:tc>
        <w:tc>
          <w:tcPr>
            <w:tcW w:w="744" w:type="pct"/>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eastAsia"/>
              </w:rPr>
              <w:t>5</w:t>
            </w:r>
            <w:r>
              <w:rPr>
                <w:rFonts w:hint="default"/>
              </w:rPr>
              <w:t>45.27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960" w:type="pct"/>
            <w:tcBorders>
              <w:tl2br w:val="nil"/>
              <w:tr2bl w:val="nil"/>
            </w:tcBorders>
            <w:noWrap/>
            <w:vAlign w:val="center"/>
          </w:tcPr>
          <w:p>
            <w:pPr>
              <w:pStyle w:val="273"/>
              <w:keepNext w:val="0"/>
              <w:keepLines w:val="0"/>
              <w:suppressLineNumbers w:val="0"/>
              <w:spacing w:before="0" w:beforeAutospacing="0" w:after="0" w:afterAutospacing="0"/>
              <w:ind w:left="0" w:right="0"/>
              <w:rPr>
                <w:rFonts w:hint="default"/>
              </w:rPr>
            </w:pPr>
            <w:r>
              <w:rPr>
                <w:rFonts w:hint="default"/>
              </w:rPr>
              <w:t>设计靶区</w:t>
            </w:r>
          </w:p>
        </w:tc>
        <w:tc>
          <w:tcPr>
            <w:tcW w:w="4040" w:type="pct"/>
            <w:gridSpan w:val="5"/>
            <w:tcBorders>
              <w:tl2br w:val="nil"/>
              <w:tr2bl w:val="nil"/>
            </w:tcBorders>
            <w:noWrap w:val="0"/>
            <w:vAlign w:val="center"/>
          </w:tcPr>
          <w:p>
            <w:pPr>
              <w:pStyle w:val="273"/>
              <w:keepNext w:val="0"/>
              <w:keepLines w:val="0"/>
              <w:suppressLineNumbers w:val="0"/>
              <w:spacing w:before="0" w:beforeAutospacing="0" w:after="0" w:afterAutospacing="0"/>
              <w:ind w:left="0" w:right="0"/>
              <w:rPr>
                <w:rFonts w:hint="default"/>
              </w:rPr>
            </w:pPr>
            <w:r>
              <w:rPr>
                <w:rFonts w:hint="default"/>
              </w:rPr>
              <w:t>水平方向中靶半径控制在10m以内，垂直方向中靶半径控制在5m以内，井眼轨道为A</w:t>
            </w:r>
            <w:r>
              <w:rPr>
                <w:rFonts w:hint="eastAsia"/>
              </w:rPr>
              <w:t>B</w:t>
            </w:r>
            <w:r>
              <w:rPr>
                <w:rFonts w:hint="default"/>
              </w:rPr>
              <w:t>段20m×10m×545.27m的矩形空间中穿行。</w:t>
            </w:r>
          </w:p>
        </w:tc>
      </w:tr>
    </w:tbl>
    <w:p>
      <w:pPr>
        <w:pStyle w:val="216"/>
        <w:keepNext w:val="0"/>
        <w:keepLines w:val="0"/>
        <w:pageBreakBefore w:val="0"/>
        <w:widowControl/>
        <w:kinsoku/>
        <w:wordWrap/>
        <w:overflowPunct/>
        <w:topLinePunct w:val="0"/>
        <w:autoSpaceDE/>
        <w:autoSpaceDN/>
        <w:bidi w:val="0"/>
        <w:adjustRightInd w:val="0"/>
        <w:snapToGrid w:val="0"/>
        <w:spacing w:before="157" w:beforeLines="50" w:after="0" w:line="360" w:lineRule="auto"/>
        <w:ind w:firstLine="560" w:firstLineChars="200"/>
        <w:textAlignment w:val="auto"/>
        <w:rPr>
          <w:rFonts w:hint="default" w:eastAsia="宋体"/>
          <w:sz w:val="28"/>
          <w:szCs w:val="28"/>
          <w:lang w:val="en-US" w:eastAsia="zh-CN"/>
        </w:rPr>
      </w:pPr>
      <w:r>
        <w:rPr>
          <w:rFonts w:hint="eastAsia"/>
          <w:sz w:val="28"/>
          <w:szCs w:val="28"/>
          <w:lang w:val="en-US" w:eastAsia="zh-CN"/>
        </w:rPr>
        <w:t>3）水平井轨道投影图</w:t>
      </w:r>
    </w:p>
    <w:p>
      <w:pPr>
        <w:pStyle w:val="216"/>
        <w:adjustRightInd w:val="0"/>
        <w:snapToGrid w:val="0"/>
        <w:spacing w:after="0" w:line="360" w:lineRule="auto"/>
        <w:ind w:firstLine="420" w:firstLineChars="200"/>
        <w:rPr>
          <w:rFonts w:hint="eastAsia"/>
          <w:sz w:val="28"/>
          <w:szCs w:val="28"/>
        </w:rPr>
      </w:pPr>
      <w:r>
        <w:rPr>
          <w:rFonts w:hint="eastAsia"/>
          <w:lang w:val="en-US" w:eastAsia="zh-CN"/>
        </w:rPr>
        <w:t xml:space="preserve">            </w:t>
      </w:r>
      <w:r>
        <w:drawing>
          <wp:inline distT="0" distB="0" distL="114300" distR="114300">
            <wp:extent cx="2860040" cy="2737485"/>
            <wp:effectExtent l="0" t="0" r="16510" b="571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28"/>
                    <a:stretch>
                      <a:fillRect/>
                    </a:stretch>
                  </pic:blipFill>
                  <pic:spPr>
                    <a:xfrm>
                      <a:off x="0" y="0"/>
                      <a:ext cx="2860040" cy="2737485"/>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b/>
          <w:bCs/>
          <w:sz w:val="28"/>
          <w:szCs w:val="28"/>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8</w:t>
      </w:r>
      <w:r>
        <w:rPr>
          <w:rFonts w:hint="default" w:ascii="Times New Roman" w:hAnsi="Times New Roman" w:eastAsia="宋体" w:cs="Times New Roman"/>
          <w:b/>
          <w:bCs/>
          <w:color w:val="000000"/>
          <w:sz w:val="24"/>
          <w:lang w:val="en-US" w:eastAsia="zh-CN"/>
        </w:rPr>
        <w:t xml:space="preserve"> </w:t>
      </w:r>
      <w:r>
        <w:rPr>
          <w:rFonts w:hint="eastAsia" w:cs="Times New Roman"/>
          <w:b/>
          <w:bCs/>
          <w:color w:val="000000"/>
          <w:sz w:val="24"/>
          <w:lang w:val="en-US" w:eastAsia="zh-CN"/>
        </w:rPr>
        <w:t>兴隆1-1</w:t>
      </w:r>
      <w:r>
        <w:rPr>
          <w:rFonts w:hint="default" w:ascii="Times New Roman" w:hAnsi="Times New Roman" w:eastAsia="宋体" w:cs="Times New Roman"/>
          <w:b/>
          <w:bCs/>
          <w:color w:val="000000"/>
          <w:sz w:val="24"/>
          <w:lang w:val="en-US" w:eastAsia="zh-CN"/>
        </w:rPr>
        <w:t>井垂直投影示意图</w:t>
      </w:r>
    </w:p>
    <w:p>
      <w:pPr>
        <w:pStyle w:val="216"/>
        <w:adjustRightInd w:val="0"/>
        <w:snapToGrid w:val="0"/>
        <w:spacing w:after="0" w:line="360" w:lineRule="auto"/>
        <w:ind w:firstLine="420" w:firstLineChars="200"/>
        <w:rPr>
          <w:rFonts w:hint="eastAsia"/>
          <w:sz w:val="28"/>
          <w:szCs w:val="28"/>
        </w:rPr>
      </w:pPr>
      <w:r>
        <w:rPr>
          <w:rFonts w:hint="eastAsia"/>
          <w:lang w:val="en-US" w:eastAsia="zh-CN"/>
        </w:rPr>
        <w:t xml:space="preserve">            </w:t>
      </w:r>
      <w:r>
        <w:drawing>
          <wp:inline distT="0" distB="0" distL="114300" distR="114300">
            <wp:extent cx="2784475" cy="2887345"/>
            <wp:effectExtent l="0" t="0" r="15875" b="8255"/>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29"/>
                    <a:stretch>
                      <a:fillRect/>
                    </a:stretch>
                  </pic:blipFill>
                  <pic:spPr>
                    <a:xfrm>
                      <a:off x="0" y="0"/>
                      <a:ext cx="2784475" cy="2887345"/>
                    </a:xfrm>
                    <a:prstGeom prst="rect">
                      <a:avLst/>
                    </a:prstGeom>
                    <a:noFill/>
                    <a:ln>
                      <a:noFill/>
                    </a:ln>
                  </pic:spPr>
                </pic:pic>
              </a:graphicData>
            </a:graphic>
          </wp:inline>
        </w:drawing>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b/>
          <w:bCs/>
          <w:sz w:val="28"/>
          <w:szCs w:val="28"/>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9</w:t>
      </w:r>
      <w:r>
        <w:rPr>
          <w:rFonts w:hint="default" w:ascii="Times New Roman" w:hAnsi="Times New Roman" w:eastAsia="宋体" w:cs="Times New Roman"/>
          <w:b/>
          <w:bCs/>
          <w:color w:val="000000"/>
          <w:sz w:val="24"/>
          <w:lang w:val="en-US" w:eastAsia="zh-CN"/>
        </w:rPr>
        <w:t xml:space="preserve"> </w:t>
      </w:r>
      <w:r>
        <w:rPr>
          <w:rFonts w:hint="eastAsia" w:cs="Times New Roman"/>
          <w:b/>
          <w:bCs/>
          <w:color w:val="000000"/>
          <w:sz w:val="24"/>
          <w:lang w:val="en-US" w:eastAsia="zh-CN"/>
        </w:rPr>
        <w:t>兴隆1-1</w:t>
      </w:r>
      <w:r>
        <w:rPr>
          <w:rFonts w:hint="default" w:ascii="Times New Roman" w:hAnsi="Times New Roman" w:eastAsia="宋体" w:cs="Times New Roman"/>
          <w:b/>
          <w:bCs/>
          <w:color w:val="000000"/>
          <w:sz w:val="24"/>
          <w:lang w:val="en-US" w:eastAsia="zh-CN"/>
        </w:rPr>
        <w:t>井</w:t>
      </w:r>
      <w:r>
        <w:rPr>
          <w:rFonts w:hint="eastAsia" w:cs="Times New Roman"/>
          <w:b/>
          <w:bCs/>
          <w:color w:val="000000"/>
          <w:sz w:val="24"/>
          <w:lang w:val="en-US" w:eastAsia="zh-CN"/>
        </w:rPr>
        <w:t>水平</w:t>
      </w:r>
      <w:r>
        <w:rPr>
          <w:rFonts w:hint="default" w:ascii="Times New Roman" w:hAnsi="Times New Roman" w:eastAsia="宋体" w:cs="Times New Roman"/>
          <w:b/>
          <w:bCs/>
          <w:color w:val="000000"/>
          <w:sz w:val="24"/>
          <w:lang w:val="en-US" w:eastAsia="zh-CN"/>
        </w:rPr>
        <w:t>投影示意图</w:t>
      </w:r>
    </w:p>
    <w:p>
      <w:pPr>
        <w:pStyle w:val="216"/>
        <w:adjustRightInd w:val="0"/>
        <w:snapToGrid w:val="0"/>
        <w:spacing w:after="0" w:line="360" w:lineRule="auto"/>
        <w:ind w:firstLine="560" w:firstLineChars="200"/>
        <w:rPr>
          <w:rFonts w:hint="default" w:eastAsia="宋体"/>
          <w:sz w:val="28"/>
          <w:szCs w:val="28"/>
          <w:lang w:val="en-US" w:eastAsia="zh-CN"/>
        </w:rPr>
      </w:pPr>
      <w:r>
        <w:rPr>
          <w:rFonts w:hint="eastAsia"/>
          <w:sz w:val="28"/>
          <w:szCs w:val="28"/>
          <w:lang w:eastAsia="zh-CN"/>
        </w:rPr>
        <w:t>（</w:t>
      </w:r>
      <w:r>
        <w:rPr>
          <w:rFonts w:hint="eastAsia"/>
          <w:sz w:val="28"/>
          <w:szCs w:val="28"/>
          <w:lang w:val="en-US" w:eastAsia="zh-CN"/>
        </w:rPr>
        <w:t>4）现场简介及施工作业照片</w:t>
      </w:r>
    </w:p>
    <w:p>
      <w:pPr>
        <w:pStyle w:val="216"/>
        <w:adjustRightInd w:val="0"/>
        <w:snapToGrid w:val="0"/>
        <w:spacing w:after="0"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bCs/>
          <w:sz w:val="28"/>
          <w:szCs w:val="28"/>
        </w:rPr>
        <w:t>斯伦贝谢油田技术（山东）有限公司（以下简称斯伦贝谢）在本井主要提供随钻测井仪器。斯伦贝谢提供的随钻测井仪器具备测斜、测方位、测温度、测量自然伽马和方位伽马数据的功能。</w:t>
      </w:r>
    </w:p>
    <w:p>
      <w:pPr>
        <w:pStyle w:val="216"/>
        <w:adjustRightInd w:val="0"/>
        <w:snapToGrid w:val="0"/>
        <w:spacing w:after="0" w:line="360" w:lineRule="auto"/>
        <w:rPr>
          <w:rFonts w:hint="eastAsia"/>
          <w:sz w:val="28"/>
          <w:szCs w:val="28"/>
        </w:rPr>
      </w:pPr>
      <w:r>
        <w:rPr>
          <w:rFonts w:ascii="宋体" w:hAnsi="Arial"/>
          <w:sz w:val="28"/>
        </w:rPr>
        <w:drawing>
          <wp:anchor distT="0" distB="0" distL="114300" distR="114300" simplePos="0" relativeHeight="251717632" behindDoc="0" locked="0" layoutInCell="1" allowOverlap="1">
            <wp:simplePos x="0" y="0"/>
            <wp:positionH relativeFrom="column">
              <wp:posOffset>2699385</wp:posOffset>
            </wp:positionH>
            <wp:positionV relativeFrom="paragraph">
              <wp:posOffset>1769745</wp:posOffset>
            </wp:positionV>
            <wp:extent cx="2043430" cy="2964815"/>
            <wp:effectExtent l="0" t="0" r="13970" b="6985"/>
            <wp:wrapSquare wrapText="bothSides"/>
            <wp:docPr id="86" name="图片 6" descr="98651d96133077a085c164e44e7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descr="98651d96133077a085c164e44e75467"/>
                    <pic:cNvPicPr>
                      <a:picLocks noChangeAspect="1"/>
                    </pic:cNvPicPr>
                  </pic:nvPicPr>
                  <pic:blipFill>
                    <a:blip r:embed="rId30"/>
                    <a:stretch>
                      <a:fillRect/>
                    </a:stretch>
                  </pic:blipFill>
                  <pic:spPr>
                    <a:xfrm>
                      <a:off x="0" y="0"/>
                      <a:ext cx="2043430" cy="2964815"/>
                    </a:xfrm>
                    <a:prstGeom prst="rect">
                      <a:avLst/>
                    </a:prstGeom>
                    <a:noFill/>
                    <a:ln>
                      <a:noFill/>
                    </a:ln>
                  </pic:spPr>
                </pic:pic>
              </a:graphicData>
            </a:graphic>
          </wp:anchor>
        </w:drawing>
      </w:r>
      <w:r>
        <w:rPr>
          <w:rFonts w:hint="eastAsia" w:ascii="宋体" w:hAnsi="Arial"/>
          <w:sz w:val="28"/>
        </w:rPr>
        <w:drawing>
          <wp:anchor distT="0" distB="0" distL="114300" distR="114300" simplePos="0" relativeHeight="251715584" behindDoc="1" locked="0" layoutInCell="1" allowOverlap="1">
            <wp:simplePos x="0" y="0"/>
            <wp:positionH relativeFrom="column">
              <wp:posOffset>165735</wp:posOffset>
            </wp:positionH>
            <wp:positionV relativeFrom="paragraph">
              <wp:posOffset>1781175</wp:posOffset>
            </wp:positionV>
            <wp:extent cx="2055495" cy="2955925"/>
            <wp:effectExtent l="0" t="0" r="59055" b="34925"/>
            <wp:wrapTight wrapText="bothSides">
              <wp:wrapPolygon>
                <wp:start x="0" y="0"/>
                <wp:lineTo x="0" y="21438"/>
                <wp:lineTo x="21420" y="21438"/>
                <wp:lineTo x="21420" y="0"/>
                <wp:lineTo x="0" y="0"/>
              </wp:wrapPolygon>
            </wp:wrapTight>
            <wp:docPr id="87" name="图片 7" descr="lADPJwKtx3xnas_NAjjNAvQ_756_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lADPJwKtx3xnas_NAjjNAvQ_756_568"/>
                    <pic:cNvPicPr>
                      <a:picLocks noChangeAspect="1"/>
                    </pic:cNvPicPr>
                  </pic:nvPicPr>
                  <pic:blipFill>
                    <a:blip r:embed="rId31"/>
                    <a:stretch>
                      <a:fillRect/>
                    </a:stretch>
                  </pic:blipFill>
                  <pic:spPr>
                    <a:xfrm>
                      <a:off x="0" y="0"/>
                      <a:ext cx="2055495" cy="2955925"/>
                    </a:xfrm>
                    <a:prstGeom prst="rect">
                      <a:avLst/>
                    </a:prstGeom>
                    <a:noFill/>
                    <a:ln>
                      <a:noFill/>
                    </a:ln>
                  </pic:spPr>
                </pic:pic>
              </a:graphicData>
            </a:graphic>
          </wp:anchor>
        </w:drawing>
      </w:r>
      <w:r>
        <w:drawing>
          <wp:anchor distT="0" distB="0" distL="114300" distR="114300" simplePos="0" relativeHeight="251716608" behindDoc="1" locked="0" layoutInCell="1" allowOverlap="1">
            <wp:simplePos x="0" y="0"/>
            <wp:positionH relativeFrom="column">
              <wp:posOffset>2692400</wp:posOffset>
            </wp:positionH>
            <wp:positionV relativeFrom="paragraph">
              <wp:posOffset>-8255</wp:posOffset>
            </wp:positionV>
            <wp:extent cx="2055495" cy="1748155"/>
            <wp:effectExtent l="0" t="0" r="0" b="0"/>
            <wp:wrapTight wrapText="bothSides">
              <wp:wrapPolygon>
                <wp:start x="0" y="0"/>
                <wp:lineTo x="0" y="21420"/>
                <wp:lineTo x="21420" y="21420"/>
                <wp:lineTo x="21420" y="0"/>
                <wp:lineTo x="0" y="0"/>
              </wp:wrapPolygon>
            </wp:wrapTight>
            <wp:docPr id="1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
                    <pic:cNvPicPr>
                      <a:picLocks noChangeAspect="1"/>
                    </pic:cNvPicPr>
                  </pic:nvPicPr>
                  <pic:blipFill>
                    <a:blip r:embed="rId32"/>
                    <a:stretch>
                      <a:fillRect/>
                    </a:stretch>
                  </pic:blipFill>
                  <pic:spPr>
                    <a:xfrm>
                      <a:off x="0" y="0"/>
                      <a:ext cx="2055495" cy="1748155"/>
                    </a:xfrm>
                    <a:prstGeom prst="rect">
                      <a:avLst/>
                    </a:prstGeom>
                    <a:noFill/>
                    <a:ln>
                      <a:noFill/>
                    </a:ln>
                  </pic:spPr>
                </pic:pic>
              </a:graphicData>
            </a:graphic>
          </wp:anchor>
        </w:drawing>
      </w:r>
      <w:r>
        <w:rPr>
          <w:rFonts w:hint="eastAsia" w:ascii="宋体" w:hAnsi="Arial"/>
          <w:sz w:val="28"/>
          <w:lang w:val="en-US" w:eastAsia="zh-CN"/>
        </w:rPr>
        <w:t xml:space="preserve">  </w:t>
      </w:r>
      <w:r>
        <w:rPr>
          <w:rFonts w:hint="eastAsia" w:ascii="宋体" w:hAnsi="Arial"/>
          <w:sz w:val="28"/>
        </w:rPr>
        <w:drawing>
          <wp:inline distT="0" distB="0" distL="114300" distR="114300">
            <wp:extent cx="2054860" cy="1727835"/>
            <wp:effectExtent l="0" t="0" r="2540" b="5715"/>
            <wp:docPr id="84" name="图片 4" descr="lADPJv8gSNeg6rPNAjjNAvQ_756_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descr="lADPJv8gSNeg6rPNAjjNAvQ_756_568"/>
                    <pic:cNvPicPr>
                      <a:picLocks noChangeAspect="1"/>
                    </pic:cNvPicPr>
                  </pic:nvPicPr>
                  <pic:blipFill>
                    <a:blip r:embed="rId33"/>
                    <a:stretch>
                      <a:fillRect/>
                    </a:stretch>
                  </pic:blipFill>
                  <pic:spPr>
                    <a:xfrm>
                      <a:off x="0" y="0"/>
                      <a:ext cx="2054860" cy="1727835"/>
                    </a:xfrm>
                    <a:prstGeom prst="rect">
                      <a:avLst/>
                    </a:prstGeom>
                    <a:noFill/>
                    <a:ln>
                      <a:noFill/>
                    </a:ln>
                  </pic:spPr>
                </pic:pic>
              </a:graphicData>
            </a:graphic>
          </wp:inline>
        </w:drawing>
      </w:r>
      <w:r>
        <w:rPr>
          <w:rFonts w:hint="eastAsia" w:ascii="宋体" w:hAnsi="Arial"/>
          <w:sz w:val="28"/>
          <w:lang w:val="en-US" w:eastAsia="zh-CN"/>
        </w:rPr>
        <w:t xml:space="preserve">    </w:t>
      </w:r>
    </w:p>
    <w:p>
      <w:pPr>
        <w:pStyle w:val="216"/>
        <w:adjustRightInd w:val="0"/>
        <w:snapToGrid w:val="0"/>
        <w:spacing w:after="0" w:line="360" w:lineRule="auto"/>
        <w:rPr>
          <w:rFonts w:hint="default" w:eastAsia="宋体"/>
          <w:sz w:val="28"/>
          <w:szCs w:val="28"/>
          <w:lang w:val="en-US" w:eastAsia="zh-CN"/>
        </w:rPr>
      </w:pPr>
      <w:r>
        <w:rPr>
          <w:rFonts w:hint="eastAsia" w:ascii="宋体" w:hAnsi="Arial"/>
          <w:sz w:val="28"/>
          <w:lang w:val="en-US" w:eastAsia="zh-CN"/>
        </w:rPr>
        <w:t xml:space="preserve">  </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2400" w:firstLineChars="1000"/>
        <w:jc w:val="both"/>
        <w:textAlignment w:val="auto"/>
        <w:rPr>
          <w:rFonts w:hint="default" w:cs="Times New Roman"/>
          <w:color w:val="000000"/>
          <w:sz w:val="24"/>
          <w:lang w:val="en-US" w:eastAsia="zh-CN"/>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10</w:t>
      </w:r>
      <w:r>
        <w:rPr>
          <w:rFonts w:hint="default" w:ascii="Times New Roman" w:hAnsi="Times New Roman" w:eastAsia="宋体" w:cs="Times New Roman"/>
          <w:b/>
          <w:bCs/>
          <w:color w:val="000000"/>
          <w:sz w:val="24"/>
          <w:lang w:val="en-US" w:eastAsia="zh-CN"/>
        </w:rPr>
        <w:t xml:space="preserve"> </w:t>
      </w:r>
      <w:r>
        <w:rPr>
          <w:rFonts w:hint="eastAsia" w:cs="Times New Roman"/>
          <w:b/>
          <w:bCs/>
          <w:color w:val="000000"/>
          <w:sz w:val="24"/>
          <w:lang w:val="en-US" w:eastAsia="zh-CN"/>
        </w:rPr>
        <w:t>兴隆1-1</w:t>
      </w:r>
      <w:r>
        <w:rPr>
          <w:rFonts w:hint="default" w:ascii="Times New Roman" w:hAnsi="Times New Roman" w:eastAsia="宋体" w:cs="Times New Roman"/>
          <w:b/>
          <w:bCs/>
          <w:color w:val="000000"/>
          <w:sz w:val="24"/>
          <w:lang w:val="en-US" w:eastAsia="zh-CN"/>
        </w:rPr>
        <w:t>井</w:t>
      </w:r>
      <w:r>
        <w:rPr>
          <w:rFonts w:hint="eastAsia" w:cs="Times New Roman"/>
          <w:b/>
          <w:bCs/>
          <w:color w:val="000000"/>
          <w:sz w:val="24"/>
          <w:lang w:val="en-US" w:eastAsia="zh-CN"/>
        </w:rPr>
        <w:t xml:space="preserve">井场总览 </w:t>
      </w:r>
      <w:r>
        <w:rPr>
          <w:rFonts w:hint="eastAsia" w:cs="Times New Roman"/>
          <w:color w:val="000000"/>
          <w:sz w:val="24"/>
          <w:lang w:val="en-US" w:eastAsia="zh-CN"/>
        </w:rPr>
        <w:t xml:space="preserve">                </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sz w:val="28"/>
          <w:szCs w:val="28"/>
          <w:lang w:val="en-US"/>
        </w:rPr>
      </w:pPr>
      <w:r>
        <w:drawing>
          <wp:anchor distT="0" distB="0" distL="114300" distR="114300" simplePos="0" relativeHeight="251721728" behindDoc="1" locked="0" layoutInCell="1" allowOverlap="1">
            <wp:simplePos x="0" y="0"/>
            <wp:positionH relativeFrom="column">
              <wp:posOffset>147955</wp:posOffset>
            </wp:positionH>
            <wp:positionV relativeFrom="paragraph">
              <wp:posOffset>464185</wp:posOffset>
            </wp:positionV>
            <wp:extent cx="2631440" cy="1809750"/>
            <wp:effectExtent l="0" t="0" r="0" b="16510"/>
            <wp:wrapNone/>
            <wp:docPr id="131" name="图片 3"/>
            <wp:cNvGraphicFramePr/>
            <a:graphic xmlns:a="http://schemas.openxmlformats.org/drawingml/2006/main">
              <a:graphicData uri="http://schemas.openxmlformats.org/drawingml/2006/picture">
                <pic:pic xmlns:pic="http://schemas.openxmlformats.org/drawingml/2006/picture">
                  <pic:nvPicPr>
                    <pic:cNvPr id="131" name="图片 3"/>
                    <pic:cNvPicPr/>
                  </pic:nvPicPr>
                  <pic:blipFill>
                    <a:blip r:embed="rId34"/>
                    <a:stretch>
                      <a:fillRect/>
                    </a:stretch>
                  </pic:blipFill>
                  <pic:spPr>
                    <a:xfrm rot="16200000">
                      <a:off x="0" y="0"/>
                      <a:ext cx="2631440" cy="1809750"/>
                    </a:xfrm>
                    <a:prstGeom prst="rect">
                      <a:avLst/>
                    </a:prstGeom>
                    <a:noFill/>
                    <a:ln>
                      <a:noFill/>
                    </a:ln>
                  </pic:spPr>
                </pic:pic>
              </a:graphicData>
            </a:graphic>
          </wp:anchor>
        </w:drawing>
      </w:r>
      <w:r>
        <w:rPr>
          <w:rFonts w:ascii="Arial" w:hAnsi="宋体" w:cs="Arial"/>
          <w:color w:val="000000"/>
          <w:sz w:val="24"/>
        </w:rPr>
        <w:drawing>
          <wp:anchor distT="0" distB="0" distL="114300" distR="114300" simplePos="0" relativeHeight="251720704" behindDoc="0" locked="0" layoutInCell="1" allowOverlap="1">
            <wp:simplePos x="0" y="0"/>
            <wp:positionH relativeFrom="column">
              <wp:posOffset>158750</wp:posOffset>
            </wp:positionH>
            <wp:positionV relativeFrom="paragraph">
              <wp:posOffset>82550</wp:posOffset>
            </wp:positionV>
            <wp:extent cx="2055495" cy="2597785"/>
            <wp:effectExtent l="0" t="0" r="1905" b="12065"/>
            <wp:wrapSquare wrapText="bothSides"/>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35"/>
                    <a:stretch>
                      <a:fillRect/>
                    </a:stretch>
                  </pic:blipFill>
                  <pic:spPr>
                    <a:xfrm>
                      <a:off x="0" y="0"/>
                      <a:ext cx="2055495" cy="2597785"/>
                    </a:xfrm>
                    <a:prstGeom prst="rect">
                      <a:avLst/>
                    </a:prstGeom>
                    <a:noFill/>
                    <a:ln>
                      <a:noFill/>
                    </a:ln>
                  </pic:spPr>
                </pic:pic>
              </a:graphicData>
            </a:graphic>
          </wp:anchor>
        </w:drawing>
      </w:r>
      <w:r>
        <w:rPr>
          <w:rFonts w:hint="eastAsia" w:ascii="Arial" w:hAnsi="宋体" w:cs="Arial"/>
          <w:color w:val="000000"/>
          <w:sz w:val="24"/>
          <w:lang w:val="en-US" w:eastAsia="zh-CN"/>
        </w:rPr>
        <w:t xml:space="preserve">  </w:t>
      </w: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color w:val="000000"/>
          <w:sz w:val="24"/>
          <w:lang w:val="en-US" w:eastAsia="zh-CN"/>
        </w:rPr>
      </w:pPr>
    </w:p>
    <w:p>
      <w:pPr>
        <w:pStyle w:val="216"/>
        <w:keepNext w:val="0"/>
        <w:keepLines w:val="0"/>
        <w:pageBreakBefore w:val="0"/>
        <w:widowControl/>
        <w:kinsoku/>
        <w:wordWrap/>
        <w:overflowPunct/>
        <w:topLinePunct w:val="0"/>
        <w:autoSpaceDE/>
        <w:autoSpaceDN/>
        <w:bidi w:val="0"/>
        <w:adjustRightInd w:val="0"/>
        <w:snapToGrid w:val="0"/>
        <w:spacing w:after="0" w:line="360" w:lineRule="auto"/>
        <w:ind w:firstLine="240" w:firstLineChars="100"/>
        <w:jc w:val="both"/>
        <w:textAlignment w:val="auto"/>
        <w:rPr>
          <w:rFonts w:hint="default"/>
          <w:sz w:val="28"/>
          <w:szCs w:val="28"/>
          <w:lang w:val="en-US"/>
        </w:rPr>
      </w:pP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11</w:t>
      </w:r>
      <w:r>
        <w:rPr>
          <w:rFonts w:hint="default" w:ascii="Times New Roman" w:hAnsi="Times New Roman" w:eastAsia="宋体" w:cs="Times New Roman"/>
          <w:b/>
          <w:bCs/>
          <w:color w:val="000000"/>
          <w:sz w:val="24"/>
          <w:lang w:val="en-US" w:eastAsia="zh-CN"/>
        </w:rPr>
        <w:t xml:space="preserve"> </w:t>
      </w:r>
      <w:r>
        <w:rPr>
          <w:rFonts w:hint="eastAsia" w:cs="Times New Roman"/>
          <w:b/>
          <w:bCs/>
          <w:color w:val="000000"/>
          <w:sz w:val="24"/>
          <w:lang w:val="en-US" w:eastAsia="zh-CN"/>
        </w:rPr>
        <w:t>现场安全防护知识学习</w:t>
      </w:r>
      <w:r>
        <w:rPr>
          <w:rFonts w:hint="eastAsia" w:cs="Times New Roman"/>
          <w:color w:val="000000"/>
          <w:sz w:val="24"/>
          <w:lang w:val="en-US" w:eastAsia="zh-CN"/>
        </w:rPr>
        <w:t xml:space="preserve">    </w:t>
      </w:r>
      <w:r>
        <w:rPr>
          <w:rFonts w:hint="eastAsia" w:cs="Times New Roman"/>
          <w:b/>
          <w:bCs/>
          <w:color w:val="000000"/>
          <w:sz w:val="24"/>
          <w:lang w:val="en-US" w:eastAsia="zh-CN"/>
        </w:rPr>
        <w:t xml:space="preserve">  </w:t>
      </w:r>
      <w:r>
        <w:rPr>
          <w:rFonts w:hint="default" w:ascii="Times New Roman" w:hAnsi="Times New Roman" w:eastAsia="宋体" w:cs="Times New Roman"/>
          <w:b/>
          <w:bCs/>
          <w:color w:val="000000"/>
          <w:sz w:val="24"/>
          <w:lang w:val="en-US" w:eastAsia="zh-CN"/>
        </w:rPr>
        <w:t>图5.1-</w:t>
      </w:r>
      <w:r>
        <w:rPr>
          <w:rFonts w:hint="eastAsia" w:cs="Times New Roman"/>
          <w:b/>
          <w:bCs/>
          <w:color w:val="000000"/>
          <w:sz w:val="24"/>
          <w:lang w:val="en-US" w:eastAsia="zh-CN"/>
        </w:rPr>
        <w:t>12</w:t>
      </w:r>
      <w:r>
        <w:rPr>
          <w:rFonts w:hint="default" w:ascii="Times New Roman" w:hAnsi="Times New Roman" w:eastAsia="宋体" w:cs="Times New Roman"/>
          <w:b/>
          <w:bCs/>
          <w:color w:val="000000"/>
          <w:sz w:val="24"/>
          <w:lang w:val="en-US" w:eastAsia="zh-CN"/>
        </w:rPr>
        <w:t xml:space="preserve"> </w:t>
      </w:r>
      <w:r>
        <w:rPr>
          <w:rFonts w:hint="eastAsia" w:cs="Times New Roman"/>
          <w:b/>
          <w:bCs/>
          <w:color w:val="000000"/>
          <w:sz w:val="24"/>
          <w:lang w:val="en-US" w:eastAsia="zh-CN"/>
        </w:rPr>
        <w:t>现场近钻头仪器工具</w:t>
      </w:r>
    </w:p>
    <w:p>
      <w:pPr>
        <w:keepNext/>
        <w:keepLines/>
        <w:adjustRightInd w:val="0"/>
        <w:snapToGrid w:val="0"/>
        <w:spacing w:line="360" w:lineRule="auto"/>
        <w:outlineLvl w:val="2"/>
        <w:rPr>
          <w:rFonts w:eastAsia="黑体"/>
          <w:bCs/>
          <w:snapToGrid w:val="0"/>
          <w:kern w:val="0"/>
          <w:sz w:val="28"/>
          <w:szCs w:val="28"/>
        </w:rPr>
      </w:pPr>
      <w:r>
        <w:rPr>
          <w:rFonts w:eastAsia="黑体"/>
          <w:bCs/>
          <w:snapToGrid w:val="0"/>
          <w:kern w:val="0"/>
          <w:sz w:val="28"/>
          <w:szCs w:val="28"/>
        </w:rPr>
        <w:t xml:space="preserve">5.1.2 </w:t>
      </w:r>
      <w:r>
        <w:rPr>
          <w:rFonts w:hint="eastAsia" w:eastAsia="黑体"/>
          <w:bCs/>
          <w:snapToGrid w:val="0"/>
          <w:kern w:val="0"/>
          <w:sz w:val="28"/>
          <w:szCs w:val="28"/>
        </w:rPr>
        <w:t>安全检查表评价</w:t>
      </w:r>
    </w:p>
    <w:p>
      <w:pPr>
        <w:adjustRightInd w:val="0"/>
        <w:snapToGrid w:val="0"/>
        <w:spacing w:line="360" w:lineRule="auto"/>
        <w:ind w:firstLine="560" w:firstLineChars="200"/>
        <w:rPr>
          <w:sz w:val="28"/>
        </w:rPr>
      </w:pPr>
      <w:r>
        <w:rPr>
          <w:rFonts w:ascii="Times New Roman" w:hAnsi="Times New Roman" w:eastAsia="宋体"/>
          <w:color w:val="000000"/>
          <w:sz w:val="28"/>
          <w:szCs w:val="24"/>
        </w:rPr>
        <w:t>本节根据</w:t>
      </w:r>
      <w:r>
        <w:rPr>
          <w:rFonts w:hint="eastAsia" w:ascii="Times New Roman" w:hAnsi="Times New Roman" w:eastAsia="宋体"/>
          <w:color w:val="000000"/>
          <w:sz w:val="28"/>
          <w:szCs w:val="24"/>
        </w:rPr>
        <w:t>《定向井测量仪器测量及检验 第1部分</w:t>
      </w:r>
      <w:r>
        <w:rPr>
          <w:rFonts w:hint="eastAsia"/>
          <w:color w:val="000000"/>
          <w:sz w:val="28"/>
          <w:szCs w:val="24"/>
          <w:lang w:eastAsia="zh-CN"/>
        </w:rPr>
        <w:t>：</w:t>
      </w:r>
      <w:r>
        <w:rPr>
          <w:rFonts w:hint="eastAsia" w:ascii="Times New Roman" w:hAnsi="Times New Roman" w:eastAsia="宋体"/>
          <w:color w:val="000000"/>
          <w:sz w:val="28"/>
          <w:szCs w:val="24"/>
        </w:rPr>
        <w:t>随钻类》（SY/T 5416.1-2016）、《硫化氢环境钻井场所作业安全规范》（SY/T 5087-2017）、</w:t>
      </w:r>
      <w:r>
        <w:rPr>
          <w:rFonts w:ascii="Times New Roman" w:hAnsi="Times New Roman" w:eastAsia="宋体"/>
          <w:color w:val="000000"/>
          <w:sz w:val="28"/>
          <w:szCs w:val="24"/>
        </w:rPr>
        <w:t>《石油天然气钻井、开发、储运防火防爆安全生产技术规程》（SY/T5225-2019）、《钻井井场设备作业安全技术规程》（SY/T5974-20</w:t>
      </w:r>
      <w:r>
        <w:rPr>
          <w:rFonts w:hint="eastAsia" w:ascii="Times New Roman" w:hAnsi="Times New Roman" w:eastAsia="宋体"/>
          <w:color w:val="000000"/>
          <w:sz w:val="28"/>
          <w:szCs w:val="24"/>
        </w:rPr>
        <w:t>20</w:t>
      </w:r>
      <w:r>
        <w:rPr>
          <w:rFonts w:ascii="Times New Roman" w:hAnsi="Times New Roman" w:eastAsia="宋体"/>
          <w:color w:val="000000"/>
          <w:sz w:val="28"/>
          <w:szCs w:val="24"/>
        </w:rPr>
        <w:t>）等</w:t>
      </w:r>
      <w:r>
        <w:rPr>
          <w:rFonts w:ascii="Times New Roman" w:hAnsi="Times New Roman" w:eastAsia="宋体"/>
          <w:color w:val="auto"/>
          <w:sz w:val="28"/>
          <w:szCs w:val="24"/>
        </w:rPr>
        <w:t>标准，对本项目生产单元（</w:t>
      </w:r>
      <w:r>
        <w:rPr>
          <w:rFonts w:hint="eastAsia"/>
          <w:color w:val="auto"/>
          <w:sz w:val="28"/>
          <w:szCs w:val="24"/>
          <w:lang w:val="en-US" w:eastAsia="zh-CN"/>
        </w:rPr>
        <w:t>GY3-Q2-H1井、兴隆1-1井</w:t>
      </w:r>
      <w:r>
        <w:rPr>
          <w:rFonts w:hint="eastAsia" w:ascii="Times New Roman" w:hAnsi="Times New Roman" w:eastAsia="宋体"/>
          <w:color w:val="auto"/>
          <w:sz w:val="28"/>
          <w:szCs w:val="24"/>
        </w:rPr>
        <w:t>定向作业</w:t>
      </w:r>
      <w:r>
        <w:rPr>
          <w:rFonts w:ascii="Times New Roman" w:hAnsi="Times New Roman" w:eastAsia="宋体"/>
          <w:color w:val="auto"/>
          <w:sz w:val="28"/>
          <w:szCs w:val="24"/>
        </w:rPr>
        <w:t>）进行</w:t>
      </w:r>
      <w:r>
        <w:rPr>
          <w:rFonts w:ascii="Times New Roman" w:hAnsi="Times New Roman" w:eastAsia="宋体"/>
          <w:sz w:val="28"/>
          <w:szCs w:val="24"/>
        </w:rPr>
        <w:t>安全评价</w:t>
      </w:r>
      <w:r>
        <w:rPr>
          <w:sz w:val="28"/>
        </w:rPr>
        <w:t>，</w:t>
      </w:r>
      <w:r>
        <w:rPr>
          <w:rFonts w:hint="eastAsia"/>
          <w:sz w:val="28"/>
        </w:rPr>
        <w:t>具体</w:t>
      </w:r>
      <w:r>
        <w:rPr>
          <w:sz w:val="28"/>
        </w:rPr>
        <w:t>评价</w:t>
      </w:r>
      <w:r>
        <w:rPr>
          <w:rFonts w:hint="eastAsia"/>
          <w:sz w:val="28"/>
        </w:rPr>
        <w:t>过程</w:t>
      </w:r>
      <w:r>
        <w:rPr>
          <w:sz w:val="28"/>
        </w:rPr>
        <w:t>见</w:t>
      </w:r>
      <w:r>
        <w:rPr>
          <w:rFonts w:hint="eastAsia"/>
          <w:sz w:val="28"/>
        </w:rPr>
        <w:t>表5</w:t>
      </w:r>
      <w:r>
        <w:rPr>
          <w:rFonts w:hint="eastAsia"/>
          <w:sz w:val="28"/>
          <w:lang w:val="en-US" w:eastAsia="zh-CN"/>
        </w:rPr>
        <w:t>.1</w:t>
      </w:r>
      <w:r>
        <w:rPr>
          <w:rFonts w:hint="eastAsia"/>
          <w:sz w:val="28"/>
        </w:rPr>
        <w:t>-</w:t>
      </w:r>
      <w:r>
        <w:rPr>
          <w:rFonts w:hint="eastAsia"/>
          <w:sz w:val="28"/>
          <w:lang w:val="en-US" w:eastAsia="zh-CN"/>
        </w:rPr>
        <w:t>5</w:t>
      </w:r>
      <w:r>
        <w:rPr>
          <w:rFonts w:hint="eastAsia"/>
          <w:sz w:val="28"/>
        </w:rPr>
        <w:t>。</w:t>
      </w:r>
    </w:p>
    <w:p>
      <w:pPr>
        <w:adjustRightInd w:val="0"/>
        <w:snapToGrid w:val="0"/>
        <w:spacing w:line="360" w:lineRule="auto"/>
        <w:ind w:firstLine="480" w:firstLineChars="200"/>
        <w:jc w:val="center"/>
        <w:rPr>
          <w:b/>
          <w:bCs w:val="0"/>
          <w:sz w:val="24"/>
          <w:szCs w:val="28"/>
        </w:rPr>
      </w:pPr>
      <w:r>
        <w:rPr>
          <w:rFonts w:hint="eastAsia"/>
          <w:b/>
          <w:bCs w:val="0"/>
          <w:sz w:val="24"/>
          <w:szCs w:val="28"/>
        </w:rPr>
        <w:t>表5</w:t>
      </w:r>
      <w:r>
        <w:rPr>
          <w:rFonts w:hint="eastAsia"/>
          <w:b/>
          <w:bCs w:val="0"/>
          <w:sz w:val="24"/>
          <w:szCs w:val="28"/>
          <w:lang w:val="en-US" w:eastAsia="zh-CN"/>
        </w:rPr>
        <w:t>.1</w:t>
      </w:r>
      <w:r>
        <w:rPr>
          <w:rFonts w:hint="eastAsia"/>
          <w:b/>
          <w:bCs w:val="0"/>
          <w:sz w:val="24"/>
          <w:szCs w:val="28"/>
        </w:rPr>
        <w:t>-</w:t>
      </w:r>
      <w:r>
        <w:rPr>
          <w:rFonts w:hint="eastAsia"/>
          <w:b/>
          <w:bCs w:val="0"/>
          <w:sz w:val="24"/>
          <w:szCs w:val="28"/>
          <w:lang w:val="en-US" w:eastAsia="zh-CN"/>
        </w:rPr>
        <w:t>5</w:t>
      </w:r>
      <w:r>
        <w:rPr>
          <w:rFonts w:hint="eastAsia"/>
          <w:b/>
          <w:bCs w:val="0"/>
          <w:sz w:val="24"/>
          <w:szCs w:val="28"/>
        </w:rPr>
        <w:t xml:space="preserve">  生产单元安全检查表</w:t>
      </w:r>
    </w:p>
    <w:tbl>
      <w:tblPr>
        <w:tblStyle w:val="52"/>
        <w:tblW w:w="85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70"/>
        <w:gridCol w:w="1670"/>
        <w:gridCol w:w="1876"/>
        <w:gridCol w:w="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5"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rPr>
            </w:pPr>
            <w:r>
              <w:rPr>
                <w:rFonts w:hint="default" w:ascii="Times New Roman" w:hAnsi="Times New Roman" w:eastAsia="宋体"/>
                <w:b/>
                <w:szCs w:val="21"/>
              </w:rPr>
              <w:t>序号</w:t>
            </w:r>
          </w:p>
        </w:tc>
        <w:tc>
          <w:tcPr>
            <w:tcW w:w="3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rPr>
            </w:pPr>
            <w:r>
              <w:rPr>
                <w:rFonts w:hint="default" w:ascii="Times New Roman" w:hAnsi="Times New Roman" w:eastAsia="宋体"/>
                <w:b/>
                <w:szCs w:val="21"/>
              </w:rPr>
              <w:t>检查内容</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rPr>
            </w:pPr>
            <w:r>
              <w:rPr>
                <w:rFonts w:hint="default" w:ascii="Times New Roman" w:hAnsi="Times New Roman" w:eastAsia="宋体"/>
                <w:b/>
                <w:szCs w:val="21"/>
              </w:rPr>
              <w:t>检查依据</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lang w:val="en-US" w:eastAsia="zh-CN"/>
              </w:rPr>
            </w:pPr>
            <w:r>
              <w:rPr>
                <w:rFonts w:hint="eastAsia"/>
                <w:b/>
                <w:szCs w:val="21"/>
                <w:lang w:val="en-US" w:eastAsia="zh-CN"/>
              </w:rPr>
              <w:t>通过施工资料、影像资料以及人员询问确认情况</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rPr>
            </w:pPr>
            <w:r>
              <w:rPr>
                <w:rFonts w:hint="default" w:ascii="Times New Roman" w:hAnsi="Times New Roman" w:eastAsia="宋体"/>
                <w:b/>
                <w:szCs w:val="21"/>
              </w:rPr>
              <w:t>检查结果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suppressLineNumbers w:val="0"/>
              <w:tabs>
                <w:tab w:val="left" w:pos="240"/>
              </w:tabs>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一</w:t>
            </w:r>
          </w:p>
        </w:tc>
        <w:tc>
          <w:tcPr>
            <w:tcW w:w="7820" w:type="dxa"/>
            <w:gridSpan w:val="4"/>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left"/>
              <w:rPr>
                <w:rFonts w:hint="default" w:ascii="Times New Roman" w:hAnsi="Times New Roman" w:eastAsia="宋体"/>
                <w:color w:val="000000"/>
                <w:szCs w:val="21"/>
              </w:rPr>
            </w:pPr>
            <w:r>
              <w:rPr>
                <w:rFonts w:hint="default" w:ascii="Times New Roman" w:hAnsi="Times New Roman" w:eastAsia="宋体"/>
                <w:b/>
                <w:color w:val="000000"/>
                <w:szCs w:val="21"/>
              </w:rPr>
              <w:t>井场</w:t>
            </w:r>
            <w:r>
              <w:rPr>
                <w:rFonts w:hint="eastAsia" w:ascii="Times New Roman" w:hAnsi="Times New Roman" w:eastAsia="宋体"/>
                <w:b/>
                <w:color w:val="000000"/>
                <w:szCs w:val="21"/>
              </w:rPr>
              <w:t>布置</w:t>
            </w:r>
            <w:r>
              <w:rPr>
                <w:rFonts w:hint="default" w:ascii="Times New Roman" w:hAnsi="Times New Roman" w:eastAsia="宋体"/>
                <w:b/>
                <w:color w:val="000000"/>
                <w:szCs w:val="21"/>
              </w:rPr>
              <w:t>及安全间距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ascii="Times New Roman" w:hAnsi="Times New Roman" w:eastAsia="宋体"/>
                <w:szCs w:val="21"/>
              </w:rPr>
              <w:t>仪器工作间宜摆放在井场安全平整易于观察井口的位置，距离井口宜不小于30m。</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4.2.1</w:t>
            </w:r>
          </w:p>
        </w:tc>
        <w:tc>
          <w:tcPr>
            <w:tcW w:w="1876" w:type="dxa"/>
            <w:vMerge w:val="restart"/>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ascii="Times New Roman" w:hAnsi="Times New Roman" w:eastAsia="宋体"/>
                <w:szCs w:val="21"/>
              </w:rPr>
              <w:t>井场定向井仪器工作间</w:t>
            </w:r>
            <w:r>
              <w:rPr>
                <w:rFonts w:hint="default" w:ascii="Times New Roman" w:hAnsi="Times New Roman" w:eastAsia="宋体"/>
                <w:szCs w:val="21"/>
              </w:rPr>
              <w:t>距井口</w:t>
            </w:r>
            <w:r>
              <w:rPr>
                <w:rFonts w:hint="eastAsia"/>
                <w:szCs w:val="21"/>
                <w:lang w:val="en-US" w:eastAsia="zh-CN"/>
              </w:rPr>
              <w:t>不小于50</w:t>
            </w:r>
            <w:r>
              <w:rPr>
                <w:rFonts w:hint="default" w:ascii="Times New Roman" w:hAnsi="Times New Roman" w:eastAsia="宋体"/>
                <w:szCs w:val="21"/>
              </w:rPr>
              <w:t>m</w:t>
            </w:r>
            <w:r>
              <w:rPr>
                <w:rFonts w:hint="eastAsia"/>
                <w:szCs w:val="21"/>
                <w:lang w:eastAsia="zh-CN"/>
              </w:rPr>
              <w:t>，</w:t>
            </w:r>
            <w:r>
              <w:rPr>
                <w:rFonts w:hint="eastAsia"/>
                <w:szCs w:val="21"/>
                <w:lang w:val="en-US" w:eastAsia="zh-CN"/>
              </w:rPr>
              <w:t>一般布置在80</w:t>
            </w:r>
            <w:r>
              <w:rPr>
                <w:rFonts w:hint="default" w:ascii="Times New Roman" w:hAnsi="Times New Roman" w:cs="Times New Roman"/>
                <w:szCs w:val="21"/>
                <w:lang w:val="en-US" w:eastAsia="zh-CN"/>
              </w:rPr>
              <w:t>~</w:t>
            </w:r>
            <w:r>
              <w:rPr>
                <w:rFonts w:hint="eastAsia"/>
                <w:szCs w:val="21"/>
                <w:lang w:val="en-US" w:eastAsia="zh-CN"/>
              </w:rPr>
              <w:t>100m</w:t>
            </w:r>
            <w:r>
              <w:rPr>
                <w:rFonts w:hint="default" w:ascii="Times New Roman" w:hAnsi="Times New Roman" w:eastAsia="宋体"/>
                <w:szCs w:val="21"/>
              </w:rPr>
              <w:t>。</w:t>
            </w:r>
          </w:p>
        </w:tc>
        <w:tc>
          <w:tcPr>
            <w:tcW w:w="604" w:type="dxa"/>
            <w:vMerge w:val="restart"/>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eastAsia" w:ascii="Times New Roman" w:hAnsi="Times New Roman" w:eastAsia="宋体"/>
                <w:szCs w:val="21"/>
              </w:rPr>
            </w:pPr>
            <w:r>
              <w:rPr>
                <w:rFonts w:hint="eastAsia" w:ascii="Times New Roman" w:hAnsi="Times New Roman" w:eastAsia="宋体"/>
                <w:szCs w:val="21"/>
              </w:rPr>
              <w:t>钻井现场设备、设施的布置应保持一定的防火间距，井场工作房距离井口应不小于3</w:t>
            </w:r>
            <w:r>
              <w:rPr>
                <w:rFonts w:hint="default" w:ascii="Times New Roman" w:hAnsi="Times New Roman" w:eastAsia="宋体"/>
                <w:szCs w:val="21"/>
              </w:rPr>
              <w:t>0</w:t>
            </w:r>
            <w:r>
              <w:rPr>
                <w:rFonts w:hint="eastAsia" w:ascii="Times New Roman" w:hAnsi="Times New Roman" w:eastAsia="宋体"/>
                <w:szCs w:val="21"/>
              </w:rPr>
              <w:t>m。</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SY/T5225-2019</w:t>
            </w:r>
          </w:p>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3</w:t>
            </w:r>
            <w:r>
              <w:rPr>
                <w:rFonts w:hint="default" w:ascii="Times New Roman" w:hAnsi="Times New Roman" w:eastAsia="宋体"/>
                <w:szCs w:val="21"/>
              </w:rPr>
              <w:t>.1.3</w:t>
            </w:r>
          </w:p>
        </w:tc>
        <w:tc>
          <w:tcPr>
            <w:tcW w:w="1876" w:type="dxa"/>
            <w:vMerge w:val="continue"/>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eastAsia" w:ascii="Times New Roman" w:hAnsi="Times New Roman" w:eastAsia="宋体"/>
                <w:szCs w:val="21"/>
              </w:rPr>
            </w:pPr>
          </w:p>
        </w:tc>
        <w:tc>
          <w:tcPr>
            <w:tcW w:w="604" w:type="dxa"/>
            <w:vMerge w:val="continue"/>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rPr>
            </w:pPr>
            <w:r>
              <w:rPr>
                <w:rFonts w:hint="eastAsia" w:ascii="Times New Roman" w:hAnsi="Times New Roman" w:eastAsia="宋体"/>
                <w:b/>
                <w:szCs w:val="21"/>
              </w:rPr>
              <w:t>二</w:t>
            </w:r>
          </w:p>
        </w:tc>
        <w:tc>
          <w:tcPr>
            <w:tcW w:w="7820" w:type="dxa"/>
            <w:gridSpan w:val="4"/>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left"/>
              <w:rPr>
                <w:rFonts w:hint="default" w:ascii="Times New Roman" w:hAnsi="Times New Roman" w:eastAsia="宋体"/>
                <w:b/>
                <w:szCs w:val="21"/>
              </w:rPr>
            </w:pPr>
            <w:r>
              <w:rPr>
                <w:rFonts w:hint="default" w:ascii="Times New Roman" w:hAnsi="Times New Roman" w:eastAsia="宋体"/>
                <w:b/>
                <w:szCs w:val="21"/>
              </w:rPr>
              <w:t>设备设施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ascii="Times New Roman" w:hAnsi="Times New Roman" w:eastAsia="宋体"/>
                <w:szCs w:val="21"/>
              </w:rPr>
              <w:t>测量仪器配备</w:t>
            </w:r>
            <w:r>
              <w:rPr>
                <w:rFonts w:hint="eastAsia"/>
                <w:szCs w:val="21"/>
                <w:lang w:eastAsia="zh-CN"/>
              </w:rPr>
              <w:t>：</w:t>
            </w:r>
            <w:r>
              <w:rPr>
                <w:rFonts w:hint="eastAsia" w:ascii="Times New Roman" w:hAnsi="Times New Roman" w:eastAsia="宋体"/>
                <w:szCs w:val="21"/>
              </w:rPr>
              <w:t>仪器应保证双配置，配件充足完好可用，各种工具齐全，螺纹带有保护帽。</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4.1.1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ascii="Times New Roman" w:hAnsi="Times New Roman" w:eastAsia="宋体"/>
                <w:szCs w:val="21"/>
              </w:rPr>
              <w:t>测量仪器双配置，配件充足完好可用</w:t>
            </w:r>
            <w:r>
              <w:rPr>
                <w:rFonts w:hint="eastAsia"/>
                <w:szCs w:val="21"/>
                <w:lang w:eastAsia="zh-CN"/>
              </w:rPr>
              <w:t>，</w:t>
            </w:r>
            <w:r>
              <w:rPr>
                <w:rFonts w:hint="eastAsia"/>
                <w:szCs w:val="21"/>
                <w:lang w:val="en-US" w:eastAsia="zh-CN"/>
              </w:rPr>
              <w:t>螺纹带有护丝</w:t>
            </w:r>
            <w:r>
              <w:rPr>
                <w:rFonts w:hint="default" w:ascii="Times New Roman" w:hAnsi="Times New Roman" w:eastAsia="宋体"/>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ascii="Times New Roman" w:hAnsi="Times New Roman" w:eastAsia="宋体"/>
                <w:szCs w:val="21"/>
              </w:rPr>
              <w:t>工作间</w:t>
            </w:r>
            <w:r>
              <w:rPr>
                <w:rFonts w:hint="eastAsia"/>
                <w:szCs w:val="21"/>
                <w:lang w:eastAsia="zh-CN"/>
              </w:rPr>
              <w:t>：</w:t>
            </w:r>
            <w:r>
              <w:rPr>
                <w:rFonts w:hint="eastAsia" w:ascii="Times New Roman" w:hAnsi="Times New Roman" w:eastAsia="宋体"/>
                <w:szCs w:val="21"/>
              </w:rPr>
              <w:t>应配备温控设备，工作间温度宜在15-25℃。</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4.1.2.1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ascii="Times New Roman" w:hAnsi="Times New Roman" w:eastAsia="宋体"/>
                <w:szCs w:val="21"/>
              </w:rPr>
              <w:t>工作间配置有空调</w:t>
            </w:r>
            <w:r>
              <w:rPr>
                <w:rFonts w:hint="default" w:ascii="Times New Roman" w:hAnsi="Times New Roman" w:eastAsia="宋体"/>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eastAsia" w:ascii="Times New Roman" w:hAnsi="Times New Roman" w:eastAsia="宋体"/>
                <w:szCs w:val="21"/>
              </w:rPr>
              <w:t>供电装置应符合SY 5225-2012中3.2.5的要求，工作间中配备不间断电源</w:t>
            </w:r>
            <w:r>
              <w:rPr>
                <w:rFonts w:hint="default" w:ascii="Times New Roman" w:hAnsi="Times New Roman" w:eastAsia="宋体"/>
                <w:szCs w:val="21"/>
              </w:rPr>
              <w:t>。</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4.1.2.2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ascii="Times New Roman" w:hAnsi="Times New Roman" w:eastAsia="宋体"/>
                <w:szCs w:val="21"/>
              </w:rPr>
              <w:t>工作间用电设置专线，配备不间断电源</w:t>
            </w:r>
            <w:r>
              <w:rPr>
                <w:rFonts w:hint="default" w:ascii="Times New Roman" w:hAnsi="Times New Roman" w:eastAsia="宋体"/>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color w:val="FF0000"/>
                <w:szCs w:val="21"/>
              </w:rPr>
            </w:pPr>
            <w:r>
              <w:rPr>
                <w:rFonts w:hint="eastAsia" w:ascii="Times New Roman" w:hAnsi="Times New Roman" w:eastAsia="宋体"/>
                <w:color w:val="auto"/>
                <w:szCs w:val="21"/>
              </w:rPr>
              <w:t>探管校验合格并在有效期内，校准证书齐备。</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4.1.3.1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szCs w:val="21"/>
                <w:lang w:val="en-US" w:eastAsia="zh-CN"/>
              </w:rPr>
              <w:t>探管返回之后根据使用情况进行维修校验，保证合格，具有校验记录</w:t>
            </w:r>
            <w:r>
              <w:rPr>
                <w:rFonts w:hint="eastAsia" w:ascii="Times New Roman" w:hAnsi="Times New Roman" w:eastAsia="宋体"/>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探管外观无损坏、无弯曲变形，接口、螺纹洁净，更新密封圈，地面检查工作正常。</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4.1.3.</w:t>
            </w:r>
            <w:r>
              <w:rPr>
                <w:rFonts w:hint="default" w:ascii="Times New Roman" w:hAnsi="Times New Roman" w:eastAsia="宋体"/>
                <w:szCs w:val="21"/>
              </w:rPr>
              <w:t>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szCs w:val="21"/>
                <w:lang w:val="en-US" w:eastAsia="zh-CN"/>
              </w:rPr>
              <w:t>在使用探管状态完好，若发生故障及时进行处理。</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仪器供电电池的电压、电量满足施工要求，锂电池的储运符合锂电池使用安全要求。</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4.1.3.</w:t>
            </w:r>
            <w:r>
              <w:rPr>
                <w:rFonts w:hint="default" w:ascii="Times New Roman" w:hAnsi="Times New Roman" w:eastAsia="宋体"/>
                <w:szCs w:val="21"/>
              </w:rPr>
              <w:t>3</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szCs w:val="21"/>
                <w:lang w:val="en-US" w:eastAsia="zh-CN"/>
              </w:rPr>
              <w:t>仪器供电电池电压、电量满足施工要求，锂电池配备电池防爆运输箱进行储运。</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color w:val="FF0000"/>
                <w:szCs w:val="21"/>
              </w:rPr>
            </w:pPr>
            <w:r>
              <w:rPr>
                <w:rFonts w:hint="eastAsia" w:ascii="Times New Roman" w:hAnsi="Times New Roman" w:eastAsia="宋体"/>
                <w:color w:val="auto"/>
                <w:szCs w:val="21"/>
              </w:rPr>
              <w:t>脉冲发生器检验合格并在有效期内，检验证书齐备。</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4.1.4.1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leftChars="0" w:right="0" w:rightChars="0"/>
              <w:rPr>
                <w:rFonts w:hint="eastAsia" w:ascii="Times New Roman" w:hAnsi="Times New Roman" w:eastAsia="宋体"/>
                <w:szCs w:val="21"/>
              </w:rPr>
            </w:pPr>
            <w:r>
              <w:rPr>
                <w:rFonts w:hint="eastAsia"/>
                <w:szCs w:val="21"/>
                <w:lang w:val="en-US" w:eastAsia="zh-CN"/>
              </w:rPr>
              <w:t>脉冲发生器返回之后根据使用情况进行维修校验，保证合格，具有校验记录</w:t>
            </w:r>
            <w:r>
              <w:rPr>
                <w:rFonts w:hint="eastAsia" w:ascii="Times New Roman" w:hAnsi="Times New Roman" w:eastAsia="宋体"/>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leftChars="0" w:right="0" w:rightChars="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脉冲发生器检验性能正常，本体外观无损坏变形，接口、螺纹清洁无损坏，配件清洁，更新密封圈。</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4.1.4.</w:t>
            </w:r>
            <w:r>
              <w:rPr>
                <w:rFonts w:hint="default" w:ascii="Times New Roman" w:hAnsi="Times New Roman" w:eastAsia="宋体"/>
                <w:szCs w:val="21"/>
              </w:rPr>
              <w:t>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ascii="Times New Roman" w:hAnsi="Times New Roman" w:eastAsia="宋体"/>
                <w:szCs w:val="21"/>
              </w:rPr>
              <w:t>脉冲发生器检验性能正常</w:t>
            </w:r>
            <w:r>
              <w:rPr>
                <w:rFonts w:hint="eastAsia"/>
                <w:szCs w:val="21"/>
                <w:lang w:eastAsia="zh-CN"/>
              </w:rPr>
              <w:t>，</w:t>
            </w:r>
            <w:r>
              <w:rPr>
                <w:rFonts w:hint="eastAsia"/>
                <w:szCs w:val="21"/>
                <w:lang w:val="en-US" w:eastAsia="zh-CN"/>
              </w:rPr>
              <w:t>外观完好。</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eastAsia" w:ascii="Times New Roman" w:hAnsi="Times New Roman" w:eastAsia="宋体"/>
                <w:szCs w:val="21"/>
              </w:rPr>
              <w:t>脉冲发生器的螺纹配有保护帽。</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4.1.4.4</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eastAsia" w:ascii="Times New Roman" w:hAnsi="Times New Roman" w:eastAsia="宋体"/>
                <w:szCs w:val="21"/>
                <w:lang w:val="en-US" w:eastAsia="zh-CN"/>
              </w:rPr>
            </w:pPr>
            <w:r>
              <w:rPr>
                <w:rFonts w:hint="eastAsia" w:ascii="Times New Roman" w:hAnsi="Times New Roman" w:eastAsia="宋体"/>
                <w:szCs w:val="21"/>
              </w:rPr>
              <w:t>脉冲发生器的螺纹配有</w:t>
            </w:r>
            <w:r>
              <w:rPr>
                <w:rFonts w:hint="eastAsia"/>
                <w:szCs w:val="21"/>
                <w:lang w:val="en-US" w:eastAsia="zh-CN"/>
              </w:rPr>
              <w:t>护丝。</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脉冲发生器悬挂短节应按规定要求进行探伤。</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4.1.</w:t>
            </w:r>
            <w:r>
              <w:rPr>
                <w:rFonts w:hint="default" w:ascii="Times New Roman" w:hAnsi="Times New Roman" w:eastAsia="宋体"/>
                <w:szCs w:val="21"/>
              </w:rPr>
              <w:t>5.1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szCs w:val="21"/>
                <w:lang w:val="en-US" w:eastAsia="zh-CN"/>
              </w:rPr>
              <w:t>由具有相应资质机构采用超声波渗透等方式进行探伤。</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脉冲发生器</w:t>
            </w:r>
            <w:r>
              <w:rPr>
                <w:rFonts w:hint="eastAsia"/>
                <w:szCs w:val="21"/>
                <w:lang w:val="en-US" w:eastAsia="zh-CN"/>
              </w:rPr>
              <w:t>悬挂</w:t>
            </w:r>
            <w:r>
              <w:rPr>
                <w:rFonts w:hint="eastAsia" w:ascii="Times New Roman" w:hAnsi="Times New Roman" w:eastAsia="宋体"/>
                <w:szCs w:val="21"/>
              </w:rPr>
              <w:t>短节两端螺纹及端面光滑无伤，</w:t>
            </w:r>
            <w:r>
              <w:rPr>
                <w:rFonts w:hint="eastAsia"/>
                <w:szCs w:val="21"/>
                <w:lang w:val="en-US" w:eastAsia="zh-CN"/>
              </w:rPr>
              <w:t>内</w:t>
            </w:r>
            <w:r>
              <w:rPr>
                <w:rFonts w:hint="eastAsia" w:ascii="Times New Roman" w:hAnsi="Times New Roman" w:eastAsia="宋体"/>
                <w:szCs w:val="21"/>
              </w:rPr>
              <w:t>键或固定螺栓完好，密封面光滑无划痕，内孔清洁。</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SY/T 5416.1-2016</w:t>
            </w:r>
          </w:p>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eastAsia" w:ascii="Times New Roman" w:hAnsi="Times New Roman" w:eastAsia="宋体"/>
                <w:szCs w:val="21"/>
              </w:rPr>
              <w:t>4.1.</w:t>
            </w:r>
            <w:r>
              <w:rPr>
                <w:rFonts w:hint="default" w:ascii="Times New Roman" w:hAnsi="Times New Roman" w:eastAsia="宋体"/>
                <w:szCs w:val="21"/>
              </w:rPr>
              <w:t>5.2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ascii="Times New Roman" w:hAnsi="Times New Roman" w:eastAsia="宋体"/>
                <w:szCs w:val="21"/>
              </w:rPr>
              <w:t>脉冲发生器</w:t>
            </w:r>
            <w:r>
              <w:rPr>
                <w:rFonts w:hint="eastAsia"/>
                <w:szCs w:val="21"/>
                <w:lang w:val="en-US" w:eastAsia="zh-CN"/>
              </w:rPr>
              <w:t>悬挂</w:t>
            </w:r>
            <w:r>
              <w:rPr>
                <w:rFonts w:hint="eastAsia" w:ascii="Times New Roman" w:hAnsi="Times New Roman" w:eastAsia="宋体"/>
                <w:szCs w:val="21"/>
              </w:rPr>
              <w:t>短节螺纹及端面光滑无伤</w:t>
            </w:r>
            <w:r>
              <w:rPr>
                <w:rFonts w:hint="eastAsia"/>
                <w:szCs w:val="21"/>
                <w:lang w:eastAsia="zh-CN"/>
              </w:rPr>
              <w:t>，</w:t>
            </w:r>
            <w:r>
              <w:rPr>
                <w:rFonts w:hint="eastAsia"/>
                <w:szCs w:val="21"/>
                <w:lang w:val="en-US" w:eastAsia="zh-CN"/>
              </w:rPr>
              <w:t>完好清洁。</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color w:val="auto"/>
                <w:szCs w:val="21"/>
              </w:rPr>
            </w:pPr>
            <w:r>
              <w:rPr>
                <w:rFonts w:hint="eastAsia" w:ascii="Times New Roman" w:hAnsi="Times New Roman" w:eastAsia="宋体"/>
                <w:color w:val="auto"/>
                <w:szCs w:val="21"/>
              </w:rPr>
              <w:t>探管每累计使用300h或存放半年校准一次。当测量和检查中发现数据有异常时，应送修。</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color w:val="auto"/>
                <w:szCs w:val="21"/>
              </w:rPr>
            </w:pPr>
            <w:r>
              <w:rPr>
                <w:rFonts w:hint="eastAsia" w:ascii="Times New Roman" w:hAnsi="Times New Roman" w:eastAsia="宋体"/>
                <w:color w:val="auto"/>
                <w:szCs w:val="21"/>
              </w:rPr>
              <w:t>SY/T 5416.2-2016</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color w:val="auto"/>
                <w:szCs w:val="21"/>
              </w:rPr>
            </w:pPr>
            <w:r>
              <w:rPr>
                <w:rFonts w:hint="eastAsia" w:ascii="Times New Roman" w:hAnsi="Times New Roman" w:eastAsia="宋体"/>
                <w:color w:val="auto"/>
                <w:szCs w:val="21"/>
              </w:rPr>
              <w:t>6.5</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color w:val="auto"/>
                <w:szCs w:val="21"/>
                <w:lang w:val="en-US" w:eastAsia="zh-CN"/>
              </w:rPr>
            </w:pPr>
            <w:r>
              <w:rPr>
                <w:rFonts w:hint="eastAsia" w:ascii="Times New Roman" w:hAnsi="Times New Roman" w:eastAsia="宋体"/>
                <w:color w:val="auto"/>
                <w:szCs w:val="21"/>
              </w:rPr>
              <w:t>探管每累计使用300h或存放半年校准一次</w:t>
            </w:r>
            <w:r>
              <w:rPr>
                <w:rFonts w:hint="eastAsia"/>
                <w:color w:val="auto"/>
                <w:szCs w:val="21"/>
                <w:lang w:eastAsia="zh-CN"/>
              </w:rPr>
              <w:t>，</w:t>
            </w:r>
            <w:r>
              <w:rPr>
                <w:rFonts w:hint="eastAsia"/>
                <w:color w:val="auto"/>
                <w:szCs w:val="21"/>
                <w:lang w:val="en-US" w:eastAsia="zh-CN"/>
              </w:rPr>
              <w:t>若期间发生异常则及时进行检验维修。</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color w:val="auto"/>
                <w:szCs w:val="21"/>
              </w:rPr>
            </w:pPr>
            <w:r>
              <w:rPr>
                <w:rFonts w:hint="eastAsia" w:ascii="Times New Roman" w:hAnsi="Times New Roman" w:eastAsia="宋体"/>
                <w:color w:val="auto"/>
                <w:szCs w:val="21"/>
              </w:rPr>
              <w:t>仪器检验合格贴</w:t>
            </w:r>
            <w:r>
              <w:rPr>
                <w:rFonts w:hint="eastAsia"/>
                <w:color w:val="auto"/>
                <w:szCs w:val="21"/>
                <w:lang w:eastAsia="zh-CN"/>
              </w:rPr>
              <w:t>“</w:t>
            </w:r>
            <w:r>
              <w:rPr>
                <w:rFonts w:hint="eastAsia" w:ascii="Times New Roman" w:hAnsi="Times New Roman" w:eastAsia="宋体"/>
                <w:color w:val="auto"/>
                <w:szCs w:val="21"/>
              </w:rPr>
              <w:t>检验合格证</w:t>
            </w:r>
            <w:r>
              <w:rPr>
                <w:rFonts w:hint="eastAsia"/>
                <w:color w:val="auto"/>
                <w:szCs w:val="21"/>
                <w:lang w:eastAsia="zh-CN"/>
              </w:rPr>
              <w:t>”</w:t>
            </w:r>
            <w:r>
              <w:rPr>
                <w:rFonts w:hint="eastAsia" w:ascii="Times New Roman" w:hAnsi="Times New Roman" w:eastAsia="宋体"/>
                <w:color w:val="auto"/>
                <w:szCs w:val="21"/>
              </w:rPr>
              <w:t>，检验不合格贴</w:t>
            </w:r>
            <w:r>
              <w:rPr>
                <w:rFonts w:hint="eastAsia"/>
                <w:color w:val="auto"/>
                <w:szCs w:val="21"/>
                <w:lang w:eastAsia="zh-CN"/>
              </w:rPr>
              <w:t>“</w:t>
            </w:r>
            <w:r>
              <w:rPr>
                <w:rFonts w:hint="eastAsia" w:ascii="Times New Roman" w:hAnsi="Times New Roman" w:eastAsia="宋体"/>
                <w:color w:val="auto"/>
                <w:szCs w:val="21"/>
              </w:rPr>
              <w:t>不合格</w:t>
            </w:r>
            <w:r>
              <w:rPr>
                <w:rFonts w:hint="eastAsia"/>
                <w:color w:val="auto"/>
                <w:szCs w:val="21"/>
                <w:lang w:eastAsia="zh-CN"/>
              </w:rPr>
              <w:t>”</w:t>
            </w:r>
            <w:r>
              <w:rPr>
                <w:rFonts w:hint="eastAsia" w:ascii="Times New Roman" w:hAnsi="Times New Roman" w:eastAsia="宋体"/>
                <w:color w:val="auto"/>
                <w:szCs w:val="21"/>
              </w:rPr>
              <w:t>标识。</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color w:val="auto"/>
                <w:szCs w:val="21"/>
              </w:rPr>
            </w:pPr>
            <w:r>
              <w:rPr>
                <w:rFonts w:hint="eastAsia" w:ascii="Times New Roman" w:hAnsi="Times New Roman" w:eastAsia="宋体"/>
                <w:color w:val="auto"/>
                <w:szCs w:val="21"/>
              </w:rPr>
              <w:t>SY/T 5416.2-2016</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color w:val="auto"/>
                <w:szCs w:val="21"/>
              </w:rPr>
            </w:pPr>
            <w:r>
              <w:rPr>
                <w:rFonts w:hint="eastAsia" w:ascii="Times New Roman" w:hAnsi="Times New Roman" w:eastAsia="宋体"/>
                <w:color w:val="auto"/>
                <w:szCs w:val="21"/>
              </w:rPr>
              <w:t>7.7.2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eastAsia" w:ascii="Times New Roman" w:hAnsi="Times New Roman" w:eastAsia="宋体"/>
                <w:color w:val="auto"/>
                <w:szCs w:val="21"/>
                <w:lang w:eastAsia="zh-CN"/>
              </w:rPr>
            </w:pPr>
            <w:r>
              <w:rPr>
                <w:rFonts w:hint="eastAsia" w:ascii="Times New Roman" w:hAnsi="Times New Roman" w:eastAsia="宋体"/>
                <w:color w:val="auto"/>
                <w:szCs w:val="21"/>
              </w:rPr>
              <w:t>仪器检验合格</w:t>
            </w:r>
            <w:r>
              <w:rPr>
                <w:rFonts w:hint="eastAsia"/>
                <w:color w:val="auto"/>
                <w:szCs w:val="21"/>
                <w:lang w:val="en-US" w:eastAsia="zh-CN"/>
              </w:rPr>
              <w:t>张</w:t>
            </w:r>
            <w:r>
              <w:rPr>
                <w:rFonts w:hint="eastAsia" w:ascii="Times New Roman" w:hAnsi="Times New Roman" w:eastAsia="宋体"/>
                <w:color w:val="auto"/>
                <w:szCs w:val="21"/>
              </w:rPr>
              <w:t>贴检验合格</w:t>
            </w:r>
            <w:r>
              <w:rPr>
                <w:rFonts w:hint="eastAsia"/>
                <w:color w:val="auto"/>
                <w:szCs w:val="21"/>
                <w:lang w:val="en-US" w:eastAsia="zh-CN"/>
              </w:rPr>
              <w:t>标识。</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b/>
                <w:szCs w:val="21"/>
              </w:rPr>
            </w:pPr>
            <w:r>
              <w:rPr>
                <w:rFonts w:hint="eastAsia" w:ascii="Times New Roman" w:hAnsi="Times New Roman" w:eastAsia="宋体"/>
                <w:b/>
                <w:szCs w:val="21"/>
              </w:rPr>
              <w:t>三</w:t>
            </w:r>
          </w:p>
        </w:tc>
        <w:tc>
          <w:tcPr>
            <w:tcW w:w="7820" w:type="dxa"/>
            <w:gridSpan w:val="4"/>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left"/>
              <w:rPr>
                <w:rFonts w:hint="default" w:ascii="Times New Roman" w:hAnsi="Times New Roman" w:eastAsia="宋体"/>
                <w:b/>
                <w:szCs w:val="21"/>
              </w:rPr>
            </w:pPr>
            <w:r>
              <w:rPr>
                <w:rFonts w:hint="eastAsia" w:ascii="Times New Roman" w:hAnsi="Times New Roman" w:eastAsia="宋体"/>
                <w:b/>
                <w:szCs w:val="21"/>
              </w:rPr>
              <w:t>电气系统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default" w:ascii="Times New Roman" w:hAnsi="Times New Roman" w:eastAsia="宋体"/>
                <w:szCs w:val="21"/>
              </w:rPr>
              <w:t>野营房电器线路安装时进户线应加绝缘护套管。在电源总闸，各分闸后和每栋野营房应分别安装漏电保护设备。</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color w:val="000000"/>
                <w:szCs w:val="21"/>
              </w:rPr>
            </w:pPr>
            <w:r>
              <w:rPr>
                <w:rFonts w:hint="default" w:ascii="Times New Roman" w:hAnsi="Times New Roman" w:eastAsia="宋体"/>
                <w:color w:val="000000"/>
                <w:szCs w:val="21"/>
              </w:rPr>
              <w:t>SY/T 5</w:t>
            </w:r>
            <w:r>
              <w:rPr>
                <w:rFonts w:hint="default" w:ascii="Times New Roman" w:hAnsi="Times New Roman" w:eastAsia="宋体"/>
                <w:szCs w:val="21"/>
              </w:rPr>
              <w:t>974-20</w:t>
            </w:r>
            <w:r>
              <w:rPr>
                <w:rFonts w:hint="eastAsia" w:ascii="Times New Roman" w:hAnsi="Times New Roman" w:eastAsia="宋体"/>
                <w:szCs w:val="21"/>
              </w:rPr>
              <w:t>20</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color w:val="000000"/>
                <w:szCs w:val="21"/>
              </w:rPr>
              <w:t>4.9.3</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ascii="Times New Roman" w:hAnsi="Times New Roman" w:eastAsia="宋体"/>
                <w:szCs w:val="21"/>
              </w:rPr>
              <w:t>定向井工作间进户线采用绝缘保护套管</w:t>
            </w:r>
            <w:r>
              <w:rPr>
                <w:rFonts w:hint="eastAsia"/>
                <w:szCs w:val="21"/>
                <w:lang w:eastAsia="zh-CN"/>
              </w:rPr>
              <w:t>，</w:t>
            </w:r>
            <w:r>
              <w:rPr>
                <w:rFonts w:hint="eastAsia"/>
                <w:szCs w:val="21"/>
                <w:lang w:val="en-US" w:eastAsia="zh-CN"/>
              </w:rPr>
              <w:t>电源闸门后安装漏电保护设备</w:t>
            </w:r>
            <w:r>
              <w:rPr>
                <w:rFonts w:hint="default" w:ascii="Times New Roman" w:hAnsi="Times New Roman" w:eastAsia="宋体"/>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default" w:ascii="Times New Roman" w:hAnsi="Times New Roman" w:eastAsia="宋体"/>
                <w:szCs w:val="21"/>
              </w:rPr>
              <w:t>发电房、配电房、</w:t>
            </w:r>
            <w:r>
              <w:rPr>
                <w:rFonts w:hint="eastAsia" w:ascii="Times New Roman" w:hAnsi="Times New Roman" w:eastAsia="宋体"/>
                <w:szCs w:val="21"/>
              </w:rPr>
              <w:t>电气</w:t>
            </w:r>
            <w:r>
              <w:rPr>
                <w:rFonts w:hint="default" w:ascii="Times New Roman" w:hAnsi="Times New Roman" w:eastAsia="宋体"/>
                <w:szCs w:val="21"/>
              </w:rPr>
              <w:t>控制房、</w:t>
            </w:r>
            <w:r>
              <w:rPr>
                <w:rFonts w:hint="eastAsia" w:ascii="Times New Roman" w:hAnsi="Times New Roman" w:eastAsia="宋体"/>
                <w:szCs w:val="21"/>
              </w:rPr>
              <w:t>录井</w:t>
            </w:r>
            <w:r>
              <w:rPr>
                <w:rFonts w:hint="default" w:ascii="Times New Roman" w:hAnsi="Times New Roman" w:eastAsia="宋体"/>
                <w:szCs w:val="21"/>
              </w:rPr>
              <w:t>房、</w:t>
            </w:r>
            <w:r>
              <w:rPr>
                <w:rFonts w:hint="eastAsia" w:ascii="Times New Roman" w:hAnsi="Times New Roman" w:eastAsia="宋体"/>
                <w:szCs w:val="21"/>
              </w:rPr>
              <w:t>测井</w:t>
            </w:r>
            <w:r>
              <w:rPr>
                <w:rFonts w:hint="default" w:ascii="Times New Roman" w:hAnsi="Times New Roman" w:eastAsia="宋体"/>
                <w:szCs w:val="21"/>
              </w:rPr>
              <w:t>房等金属活动房应设置至少两处接地装置，且对称分布接地电阻不应大于</w:t>
            </w:r>
            <w:r>
              <w:rPr>
                <w:rFonts w:hint="eastAsia" w:ascii="Times New Roman" w:hAnsi="Times New Roman" w:eastAsia="宋体"/>
                <w:szCs w:val="21"/>
              </w:rPr>
              <w:t>4Ω</w:t>
            </w:r>
            <w:r>
              <w:rPr>
                <w:rFonts w:hint="default" w:ascii="Times New Roman" w:hAnsi="Times New Roman" w:eastAsia="宋体"/>
                <w:szCs w:val="21"/>
              </w:rPr>
              <w:t>。</w:t>
            </w:r>
          </w:p>
        </w:tc>
        <w:tc>
          <w:tcPr>
            <w:tcW w:w="1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center"/>
              <w:rPr>
                <w:rFonts w:hint="eastAsia" w:ascii="Times New Roman" w:hAnsi="Times New Roman"/>
                <w:szCs w:val="21"/>
              </w:rPr>
            </w:pPr>
            <w:r>
              <w:rPr>
                <w:rFonts w:hint="eastAsia" w:ascii="Times New Roman" w:hAnsi="Times New Roman"/>
                <w:szCs w:val="21"/>
              </w:rPr>
              <w:t>SY/T 7386-2017</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color w:val="000000"/>
                <w:szCs w:val="21"/>
              </w:rPr>
            </w:pPr>
            <w:r>
              <w:rPr>
                <w:rFonts w:hint="eastAsia" w:ascii="Times New Roman" w:hAnsi="Times New Roman"/>
                <w:szCs w:val="21"/>
              </w:rPr>
              <w:t>4.1.3</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eastAsia" w:ascii="Times New Roman" w:hAnsi="Times New Roman" w:eastAsia="宋体"/>
                <w:color w:val="auto"/>
                <w:szCs w:val="21"/>
              </w:rPr>
            </w:pPr>
            <w:r>
              <w:rPr>
                <w:rFonts w:hint="eastAsia"/>
                <w:color w:val="auto"/>
                <w:szCs w:val="21"/>
                <w:lang w:val="en-US" w:eastAsia="zh-CN"/>
              </w:rPr>
              <w:t>仪器工具间设2处接地，</w:t>
            </w:r>
            <w:r>
              <w:rPr>
                <w:rFonts w:hint="eastAsia" w:ascii="Times New Roman" w:hAnsi="Times New Roman" w:eastAsia="宋体"/>
                <w:color w:val="auto"/>
                <w:szCs w:val="21"/>
              </w:rPr>
              <w:t>接地电阻</w:t>
            </w:r>
            <w:r>
              <w:rPr>
                <w:rFonts w:hint="eastAsia"/>
                <w:color w:val="auto"/>
                <w:szCs w:val="21"/>
                <w:lang w:val="en-US" w:eastAsia="zh-CN"/>
              </w:rPr>
              <w:t>由甲方电工进行检测，检测合格后方投入使用</w:t>
            </w:r>
            <w:r>
              <w:rPr>
                <w:rFonts w:hint="eastAsia" w:ascii="Times New Roman" w:hAnsi="Times New Roman" w:eastAsia="宋体"/>
                <w:color w:val="auto"/>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eastAsia" w:ascii="Times New Roman" w:hAnsi="Times New Roman" w:eastAsia="宋体"/>
                <w:szCs w:val="21"/>
              </w:rPr>
            </w:pPr>
            <w:r>
              <w:rPr>
                <w:rFonts w:hint="eastAsia" w:ascii="Times New Roman" w:hAnsi="Times New Roman" w:eastAsia="宋体"/>
                <w:szCs w:val="21"/>
              </w:rPr>
              <w:t>所有电气设备的金属外壳都应与其所在金属房体等电位连接。</w:t>
            </w:r>
          </w:p>
        </w:tc>
        <w:tc>
          <w:tcPr>
            <w:tcW w:w="1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center"/>
              <w:rPr>
                <w:rFonts w:hint="eastAsia" w:ascii="Times New Roman" w:hAnsi="Times New Roman"/>
                <w:szCs w:val="21"/>
              </w:rPr>
            </w:pPr>
            <w:r>
              <w:rPr>
                <w:rFonts w:hint="eastAsia" w:ascii="Times New Roman" w:hAnsi="Times New Roman"/>
                <w:szCs w:val="21"/>
              </w:rPr>
              <w:t>SY/T 7386-2017</w:t>
            </w:r>
          </w:p>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center"/>
              <w:rPr>
                <w:rFonts w:hint="eastAsia" w:ascii="Times New Roman" w:hAnsi="Times New Roman"/>
                <w:szCs w:val="21"/>
              </w:rPr>
            </w:pPr>
            <w:r>
              <w:rPr>
                <w:rFonts w:hint="eastAsia" w:ascii="Times New Roman" w:hAnsi="Times New Roman"/>
                <w:szCs w:val="21"/>
              </w:rPr>
              <w:t>4.</w:t>
            </w:r>
            <w:r>
              <w:rPr>
                <w:rFonts w:hint="default" w:ascii="Times New Roman" w:hAnsi="Times New Roman"/>
                <w:szCs w:val="21"/>
              </w:rPr>
              <w:t>3.2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color w:val="auto"/>
                <w:szCs w:val="21"/>
                <w:lang w:val="en-US" w:eastAsia="zh-CN"/>
              </w:rPr>
            </w:pPr>
            <w:r>
              <w:rPr>
                <w:rFonts w:hint="eastAsia"/>
                <w:color w:val="auto"/>
                <w:szCs w:val="21"/>
                <w:lang w:val="en-US" w:eastAsia="zh-CN"/>
              </w:rPr>
              <w:t>现场接口箱金属外壳单独接地。</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rPr>
            </w:pPr>
            <w:r>
              <w:rPr>
                <w:rFonts w:hint="eastAsia" w:ascii="Times New Roman" w:hAnsi="Times New Roman" w:eastAsia="宋体"/>
                <w:b/>
                <w:szCs w:val="21"/>
              </w:rPr>
              <w:t>四</w:t>
            </w:r>
          </w:p>
        </w:tc>
        <w:tc>
          <w:tcPr>
            <w:tcW w:w="7820" w:type="dxa"/>
            <w:gridSpan w:val="4"/>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left"/>
              <w:rPr>
                <w:rFonts w:hint="default" w:ascii="Times New Roman" w:hAnsi="Times New Roman" w:eastAsia="宋体"/>
                <w:b/>
                <w:szCs w:val="21"/>
              </w:rPr>
            </w:pPr>
            <w:r>
              <w:rPr>
                <w:rFonts w:hint="default" w:ascii="Times New Roman" w:hAnsi="Times New Roman" w:eastAsia="宋体"/>
                <w:b/>
                <w:szCs w:val="21"/>
              </w:rPr>
              <w:t>安全防护设施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05" w:type="dxa"/>
            <w:noWrap w:val="0"/>
            <w:tcMar>
              <w:left w:w="0" w:type="dxa"/>
              <w:right w:w="0" w:type="dxa"/>
            </w:tcMar>
            <w:vAlign w:val="center"/>
          </w:tcPr>
          <w:p>
            <w:pPr>
              <w:keepNext w:val="0"/>
              <w:keepLines w:val="0"/>
              <w:widowControl/>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b/>
                <w:szCs w:val="21"/>
              </w:rPr>
            </w:pPr>
            <w:r>
              <w:rPr>
                <w:rFonts w:hint="default" w:ascii="Times New Roman" w:hAnsi="Times New Roman" w:eastAsia="宋体"/>
                <w:b/>
                <w:szCs w:val="21"/>
              </w:rPr>
              <w:t>1</w:t>
            </w:r>
          </w:p>
        </w:tc>
        <w:tc>
          <w:tcPr>
            <w:tcW w:w="7820" w:type="dxa"/>
            <w:gridSpan w:val="4"/>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left"/>
              <w:rPr>
                <w:rFonts w:hint="default" w:ascii="Times New Roman" w:hAnsi="Times New Roman" w:eastAsia="宋体"/>
                <w:b/>
                <w:szCs w:val="21"/>
              </w:rPr>
            </w:pPr>
            <w:r>
              <w:rPr>
                <w:rFonts w:hint="default" w:ascii="Times New Roman" w:hAnsi="Times New Roman" w:eastAsia="宋体"/>
                <w:b/>
                <w:szCs w:val="21"/>
              </w:rPr>
              <w:t>消防设施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default" w:ascii="Times New Roman" w:hAnsi="Times New Roman" w:eastAsia="宋体"/>
                <w:szCs w:val="21"/>
              </w:rPr>
              <w:t>野营房区应按每40m</w:t>
            </w:r>
            <w:r>
              <w:rPr>
                <w:rFonts w:hint="default" w:ascii="Times New Roman" w:hAnsi="Times New Roman" w:eastAsia="宋体"/>
                <w:szCs w:val="21"/>
                <w:vertAlign w:val="superscript"/>
              </w:rPr>
              <w:t>2</w:t>
            </w:r>
            <w:r>
              <w:rPr>
                <w:rFonts w:hint="default" w:ascii="Times New Roman" w:hAnsi="Times New Roman" w:eastAsia="宋体"/>
                <w:szCs w:val="21"/>
              </w:rPr>
              <w:t>少</w:t>
            </w:r>
            <w:r>
              <w:rPr>
                <w:rFonts w:hint="eastAsia" w:ascii="Times New Roman" w:hAnsi="Times New Roman" w:eastAsia="宋体"/>
                <w:szCs w:val="21"/>
              </w:rPr>
              <w:t>于1具</w:t>
            </w:r>
            <w:r>
              <w:rPr>
                <w:rFonts w:hint="default" w:ascii="Times New Roman" w:hAnsi="Times New Roman" w:eastAsia="宋体"/>
                <w:szCs w:val="21"/>
              </w:rPr>
              <w:t>4kg干粉灭火器进行配备。</w:t>
            </w:r>
          </w:p>
        </w:tc>
        <w:tc>
          <w:tcPr>
            <w:tcW w:w="1670" w:type="dxa"/>
            <w:vMerge w:val="restart"/>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 5974-20</w:t>
            </w:r>
            <w:r>
              <w:rPr>
                <w:rFonts w:hint="eastAsia" w:ascii="Times New Roman" w:hAnsi="Times New Roman" w:eastAsia="宋体"/>
                <w:szCs w:val="21"/>
              </w:rPr>
              <w:t>20</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3.3.1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szCs w:val="21"/>
                <w:lang w:val="en-US" w:eastAsia="zh-CN"/>
              </w:rPr>
              <w:t>野营房配备2</w:t>
            </w:r>
            <w:r>
              <w:rPr>
                <w:rFonts w:hint="eastAsia"/>
                <w:color w:val="auto"/>
                <w:szCs w:val="21"/>
                <w:lang w:val="en-US" w:eastAsia="zh-CN"/>
              </w:rPr>
              <w:t>具4kg</w:t>
            </w:r>
            <w:r>
              <w:rPr>
                <w:rFonts w:hint="eastAsia"/>
                <w:szCs w:val="21"/>
                <w:lang w:val="en-US" w:eastAsia="zh-CN"/>
              </w:rPr>
              <w:t>干粉灭火器</w:t>
            </w:r>
            <w:r>
              <w:rPr>
                <w:rFonts w:hint="default" w:ascii="Times New Roman" w:hAnsi="Times New Roman" w:eastAsia="宋体"/>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default" w:ascii="Times New Roman" w:hAnsi="Times New Roman" w:eastAsia="宋体"/>
                <w:szCs w:val="21"/>
              </w:rPr>
              <w:t>消防器材</w:t>
            </w:r>
            <w:r>
              <w:rPr>
                <w:rFonts w:hint="eastAsia" w:ascii="Times New Roman" w:hAnsi="Times New Roman" w:eastAsia="宋体"/>
                <w:szCs w:val="21"/>
              </w:rPr>
              <w:t>应</w:t>
            </w:r>
            <w:r>
              <w:rPr>
                <w:rFonts w:hint="default" w:ascii="Times New Roman" w:hAnsi="Times New Roman" w:eastAsia="宋体"/>
                <w:szCs w:val="21"/>
              </w:rPr>
              <w:t>挂牌由专人管理，</w:t>
            </w:r>
            <w:r>
              <w:rPr>
                <w:rFonts w:hint="eastAsia" w:ascii="Times New Roman" w:hAnsi="Times New Roman" w:eastAsia="宋体"/>
                <w:szCs w:val="21"/>
              </w:rPr>
              <w:t>并</w:t>
            </w:r>
            <w:r>
              <w:rPr>
                <w:rFonts w:hint="default" w:ascii="Times New Roman" w:hAnsi="Times New Roman" w:eastAsia="宋体"/>
                <w:szCs w:val="21"/>
              </w:rPr>
              <w:t>定期</w:t>
            </w:r>
            <w:r>
              <w:rPr>
                <w:rFonts w:hint="eastAsia" w:ascii="Times New Roman" w:hAnsi="Times New Roman" w:eastAsia="宋体"/>
                <w:szCs w:val="21"/>
              </w:rPr>
              <w:t>检查、</w:t>
            </w:r>
            <w:r>
              <w:rPr>
                <w:rFonts w:hint="default" w:ascii="Times New Roman" w:hAnsi="Times New Roman" w:eastAsia="宋体"/>
                <w:szCs w:val="21"/>
              </w:rPr>
              <w:t>维护</w:t>
            </w:r>
            <w:r>
              <w:rPr>
                <w:rFonts w:hint="eastAsia" w:ascii="Times New Roman" w:hAnsi="Times New Roman" w:eastAsia="宋体"/>
                <w:szCs w:val="21"/>
              </w:rPr>
              <w:t>和</w:t>
            </w:r>
            <w:r>
              <w:rPr>
                <w:rFonts w:hint="default" w:ascii="Times New Roman" w:hAnsi="Times New Roman" w:eastAsia="宋体"/>
                <w:szCs w:val="21"/>
              </w:rPr>
              <w:t>保养，不应挪为他用，消防器材摆放处</w:t>
            </w:r>
            <w:r>
              <w:rPr>
                <w:rFonts w:hint="eastAsia" w:ascii="Times New Roman" w:hAnsi="Times New Roman" w:eastAsia="宋体"/>
                <w:szCs w:val="21"/>
              </w:rPr>
              <w:t>保持</w:t>
            </w:r>
            <w:r>
              <w:rPr>
                <w:rFonts w:hint="default" w:ascii="Times New Roman" w:hAnsi="Times New Roman" w:eastAsia="宋体"/>
                <w:szCs w:val="21"/>
              </w:rPr>
              <w:t>通道畅通，取用方便，悬挂牢靠</w:t>
            </w:r>
            <w:r>
              <w:rPr>
                <w:rFonts w:hint="eastAsia" w:ascii="Times New Roman" w:hAnsi="Times New Roman" w:eastAsia="宋体"/>
                <w:szCs w:val="21"/>
              </w:rPr>
              <w:t>，不应暴晒或雨淋。</w:t>
            </w:r>
          </w:p>
        </w:tc>
        <w:tc>
          <w:tcPr>
            <w:tcW w:w="1670" w:type="dxa"/>
            <w:vMerge w:val="continue"/>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default" w:ascii="Times New Roman" w:hAnsi="Times New Roman" w:eastAsia="宋体"/>
                <w:szCs w:val="21"/>
              </w:rPr>
              <w:t>消防器材</w:t>
            </w:r>
            <w:r>
              <w:rPr>
                <w:rFonts w:hint="eastAsia"/>
                <w:szCs w:val="21"/>
                <w:lang w:val="en-US" w:eastAsia="zh-CN"/>
              </w:rPr>
              <w:t>专人管理并定期检查、维护和保养，</w:t>
            </w:r>
            <w:r>
              <w:rPr>
                <w:rFonts w:hint="default" w:ascii="Times New Roman" w:hAnsi="Times New Roman" w:eastAsia="宋体"/>
                <w:szCs w:val="21"/>
              </w:rPr>
              <w:t>摆放处</w:t>
            </w:r>
            <w:r>
              <w:rPr>
                <w:rFonts w:hint="eastAsia" w:ascii="Times New Roman" w:hAnsi="Times New Roman" w:eastAsia="宋体"/>
                <w:szCs w:val="21"/>
              </w:rPr>
              <w:t>保持</w:t>
            </w:r>
            <w:r>
              <w:rPr>
                <w:rFonts w:hint="default" w:ascii="Times New Roman" w:hAnsi="Times New Roman" w:eastAsia="宋体"/>
                <w:szCs w:val="21"/>
              </w:rPr>
              <w:t>通道畅通，取用方便，悬挂牢靠。</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default" w:ascii="Times New Roman" w:hAnsi="Times New Roman" w:eastAsia="宋体"/>
                <w:szCs w:val="21"/>
              </w:rPr>
              <w:t>灭火器自出厂日期算起，达到以下年限应报废</w:t>
            </w:r>
            <w:r>
              <w:rPr>
                <w:rFonts w:hint="eastAsia"/>
                <w:szCs w:val="21"/>
                <w:lang w:eastAsia="zh-CN"/>
              </w:rPr>
              <w:t>：</w:t>
            </w:r>
            <w:r>
              <w:rPr>
                <w:rFonts w:hint="default" w:ascii="Times New Roman" w:hAnsi="Times New Roman" w:eastAsia="宋体"/>
                <w:szCs w:val="21"/>
              </w:rPr>
              <w:t>干粉灭火器10年，二氧化碳灭火器12年，水基型灭火器6年。</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XF9</w:t>
            </w:r>
            <w:r>
              <w:rPr>
                <w:rFonts w:hint="default" w:ascii="Times New Roman" w:hAnsi="Times New Roman" w:eastAsia="宋体"/>
                <w:szCs w:val="21"/>
              </w:rPr>
              <w:t>5-2015</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7.1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default" w:ascii="Times New Roman" w:hAnsi="Times New Roman" w:eastAsia="宋体"/>
                <w:szCs w:val="21"/>
              </w:rPr>
              <w:t>均未达到报废年限。</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b/>
                <w:szCs w:val="21"/>
              </w:rPr>
            </w:pPr>
            <w:r>
              <w:rPr>
                <w:rFonts w:hint="eastAsia" w:ascii="Times New Roman" w:hAnsi="Times New Roman" w:eastAsia="宋体"/>
                <w:b/>
                <w:szCs w:val="21"/>
              </w:rPr>
              <w:t>2</w:t>
            </w:r>
          </w:p>
        </w:tc>
        <w:tc>
          <w:tcPr>
            <w:tcW w:w="7820" w:type="dxa"/>
            <w:gridSpan w:val="4"/>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left"/>
              <w:rPr>
                <w:rFonts w:hint="default" w:ascii="Times New Roman" w:hAnsi="Times New Roman" w:eastAsia="宋体"/>
                <w:b/>
                <w:szCs w:val="21"/>
              </w:rPr>
            </w:pPr>
            <w:r>
              <w:rPr>
                <w:rFonts w:hint="default" w:ascii="Times New Roman" w:hAnsi="Times New Roman" w:eastAsia="宋体"/>
                <w:b/>
                <w:szCs w:val="21"/>
              </w:rPr>
              <w:t>安全标志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default" w:ascii="Times New Roman" w:hAnsi="Times New Roman" w:eastAsia="宋体"/>
                <w:szCs w:val="21"/>
              </w:rPr>
              <w:t>机房、净化系统、远程控制系统、电气设备等处应有明显的安全标志</w:t>
            </w:r>
            <w:r>
              <w:rPr>
                <w:rFonts w:hint="eastAsia" w:ascii="Times New Roman" w:hAnsi="Times New Roman" w:eastAsia="宋体"/>
                <w:szCs w:val="21"/>
              </w:rPr>
              <w:t>。</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 5974-20</w:t>
            </w:r>
            <w:r>
              <w:rPr>
                <w:rFonts w:hint="eastAsia" w:ascii="Times New Roman" w:hAnsi="Times New Roman" w:eastAsia="宋体"/>
                <w:szCs w:val="21"/>
              </w:rPr>
              <w:t>20</w:t>
            </w:r>
          </w:p>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rPr>
            </w:pPr>
            <w:r>
              <w:rPr>
                <w:rFonts w:hint="default" w:ascii="Times New Roman" w:hAnsi="Times New Roman" w:eastAsia="宋体"/>
                <w:szCs w:val="21"/>
              </w:rPr>
              <w:t>3.2.</w:t>
            </w:r>
            <w:r>
              <w:rPr>
                <w:rFonts w:hint="eastAsia" w:ascii="Times New Roman" w:hAnsi="Times New Roman" w:eastAsia="宋体"/>
                <w:szCs w:val="21"/>
              </w:rPr>
              <w:t>5</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default" w:ascii="Times New Roman" w:hAnsi="Times New Roman" w:eastAsia="宋体"/>
                <w:szCs w:val="21"/>
              </w:rPr>
              <w:t>现场设置有</w:t>
            </w:r>
            <w:r>
              <w:rPr>
                <w:rFonts w:hint="eastAsia"/>
                <w:szCs w:val="21"/>
                <w:lang w:eastAsia="zh-CN"/>
              </w:rPr>
              <w:t>“</w:t>
            </w:r>
            <w:r>
              <w:rPr>
                <w:rFonts w:hint="eastAsia"/>
                <w:szCs w:val="21"/>
                <w:lang w:val="en-US" w:eastAsia="zh-CN"/>
              </w:rPr>
              <w:t>严禁烟小心触电、小心滑倒等”</w:t>
            </w:r>
            <w:r>
              <w:rPr>
                <w:rFonts w:hint="default" w:ascii="Times New Roman" w:hAnsi="Times New Roman" w:eastAsia="宋体"/>
                <w:szCs w:val="21"/>
              </w:rPr>
              <w:t>安全标志牌。</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安全标志牌不应设在门、窗、架等可移动的物体上。</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SY/T6355</w:t>
            </w:r>
            <w:r>
              <w:rPr>
                <w:rFonts w:hint="eastAsia" w:ascii="Times New Roman" w:hAnsi="Times New Roman" w:eastAsia="宋体"/>
                <w:szCs w:val="21"/>
              </w:rPr>
              <w:t>-</w:t>
            </w:r>
            <w:r>
              <w:rPr>
                <w:rFonts w:hint="default" w:ascii="Times New Roman" w:hAnsi="Times New Roman" w:eastAsia="宋体"/>
                <w:szCs w:val="21"/>
              </w:rPr>
              <w:t>2017</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7</w:t>
            </w:r>
            <w:r>
              <w:rPr>
                <w:rFonts w:hint="default" w:ascii="Times New Roman" w:hAnsi="Times New Roman" w:eastAsia="宋体"/>
                <w:szCs w:val="21"/>
              </w:rPr>
              <w:t>.2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szCs w:val="21"/>
                <w:lang w:val="en-US" w:eastAsia="zh-CN"/>
              </w:rPr>
              <w:t>安全标志牌设在墙面或告示板上，未设在可移动的物体上。</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安全标志牌有破损、变形、褪色等不符合要求时应及时修正或更换。</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SY/T6355-2017</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8.1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ascii="Times New Roman" w:hAnsi="Times New Roman" w:eastAsia="宋体"/>
                <w:szCs w:val="21"/>
              </w:rPr>
              <w:t>安全标志牌</w:t>
            </w:r>
            <w:r>
              <w:rPr>
                <w:rFonts w:hint="eastAsia"/>
                <w:szCs w:val="21"/>
                <w:lang w:val="en-US" w:eastAsia="zh-CN"/>
              </w:rPr>
              <w:t>无破损、变形、褪色等现象。</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b/>
                <w:szCs w:val="21"/>
              </w:rPr>
            </w:pPr>
            <w:r>
              <w:rPr>
                <w:rFonts w:hint="eastAsia" w:ascii="Times New Roman" w:hAnsi="Times New Roman" w:eastAsia="宋体"/>
                <w:b/>
                <w:szCs w:val="21"/>
              </w:rPr>
              <w:t>3</w:t>
            </w:r>
          </w:p>
        </w:tc>
        <w:tc>
          <w:tcPr>
            <w:tcW w:w="7820" w:type="dxa"/>
            <w:gridSpan w:val="4"/>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left"/>
              <w:rPr>
                <w:rFonts w:hint="default" w:ascii="Times New Roman" w:hAnsi="Times New Roman" w:eastAsia="宋体"/>
                <w:b/>
                <w:szCs w:val="21"/>
              </w:rPr>
            </w:pPr>
            <w:r>
              <w:rPr>
                <w:rFonts w:hint="default" w:ascii="Times New Roman" w:hAnsi="Times New Roman" w:eastAsia="宋体"/>
                <w:b/>
                <w:szCs w:val="21"/>
              </w:rPr>
              <w:t>硫化氢防护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default" w:ascii="Times New Roman" w:hAnsi="Times New Roman" w:eastAsia="宋体"/>
                <w:szCs w:val="21"/>
              </w:rPr>
              <w:t>预测含有硫化氢的场所或探井井场应至少按以下要求配备正压式空气呼吸器</w:t>
            </w:r>
            <w:r>
              <w:rPr>
                <w:rFonts w:hint="eastAsia"/>
                <w:szCs w:val="21"/>
                <w:lang w:eastAsia="zh-CN"/>
              </w:rPr>
              <w:t>：</w:t>
            </w:r>
            <w:r>
              <w:rPr>
                <w:rFonts w:hint="default" w:ascii="Times New Roman" w:hAnsi="Times New Roman" w:eastAsia="宋体"/>
                <w:szCs w:val="21"/>
              </w:rPr>
              <w:t>陆上按在岗人数100%配备；</w:t>
            </w:r>
          </w:p>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default" w:ascii="Times New Roman" w:hAnsi="Times New Roman" w:eastAsia="宋体"/>
                <w:szCs w:val="21"/>
              </w:rPr>
              <w:t>应至少配备探测范围为0mg/m</w:t>
            </w:r>
            <w:r>
              <w:rPr>
                <w:rFonts w:hint="default" w:ascii="Times New Roman" w:hAnsi="Times New Roman" w:eastAsia="宋体"/>
                <w:szCs w:val="21"/>
                <w:vertAlign w:val="superscript"/>
              </w:rPr>
              <w:t>3</w:t>
            </w:r>
            <w:r>
              <w:rPr>
                <w:rFonts w:hint="default" w:ascii="Times New Roman" w:hAnsi="Times New Roman" w:eastAsia="宋体"/>
                <w:szCs w:val="21"/>
              </w:rPr>
              <w:t>-30mg/m</w:t>
            </w:r>
            <w:r>
              <w:rPr>
                <w:rFonts w:hint="default" w:ascii="Times New Roman" w:hAnsi="Times New Roman" w:eastAsia="宋体"/>
                <w:szCs w:val="21"/>
                <w:vertAlign w:val="superscript"/>
              </w:rPr>
              <w:t>3</w:t>
            </w:r>
            <w:r>
              <w:rPr>
                <w:rFonts w:hint="default" w:ascii="Times New Roman" w:hAnsi="Times New Roman" w:eastAsia="宋体"/>
                <w:szCs w:val="21"/>
              </w:rPr>
              <w:t>和0mg/m</w:t>
            </w:r>
            <w:r>
              <w:rPr>
                <w:rFonts w:hint="default" w:ascii="Times New Roman" w:hAnsi="Times New Roman" w:eastAsia="宋体"/>
                <w:szCs w:val="21"/>
                <w:vertAlign w:val="superscript"/>
              </w:rPr>
              <w:t>3</w:t>
            </w:r>
            <w:r>
              <w:rPr>
                <w:rFonts w:hint="default" w:ascii="Times New Roman" w:hAnsi="Times New Roman" w:eastAsia="宋体"/>
                <w:szCs w:val="21"/>
              </w:rPr>
              <w:t>-150mg/m</w:t>
            </w:r>
            <w:r>
              <w:rPr>
                <w:rFonts w:hint="default" w:ascii="Times New Roman" w:hAnsi="Times New Roman" w:eastAsia="宋体"/>
                <w:szCs w:val="21"/>
                <w:vertAlign w:val="superscript"/>
              </w:rPr>
              <w:t>3</w:t>
            </w:r>
            <w:r>
              <w:rPr>
                <w:rFonts w:hint="default" w:ascii="Times New Roman" w:hAnsi="Times New Roman" w:eastAsia="宋体"/>
                <w:szCs w:val="21"/>
              </w:rPr>
              <w:t>的便携式硫化氢监测仪各1套。</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 6277-2017</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5.1.2.2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rPr>
            </w:pPr>
            <w:r>
              <w:rPr>
                <w:rFonts w:hint="eastAsia"/>
                <w:color w:val="auto"/>
                <w:szCs w:val="21"/>
                <w:lang w:val="en-US" w:eastAsia="zh-CN"/>
              </w:rPr>
              <w:t>兴隆1-1井</w:t>
            </w:r>
            <w:r>
              <w:rPr>
                <w:rFonts w:hint="eastAsia" w:ascii="Times New Roman" w:hAnsi="Times New Roman" w:eastAsia="宋体"/>
                <w:color w:val="auto"/>
                <w:szCs w:val="21"/>
              </w:rPr>
              <w:t>井场定向井作业2人，配备2台正压式空气呼吸器，2台便携式硫化氢监测仪</w:t>
            </w:r>
            <w:r>
              <w:rPr>
                <w:rFonts w:hint="default" w:ascii="Times New Roman" w:hAnsi="Times New Roman" w:eastAsia="宋体"/>
                <w:color w:val="auto"/>
                <w:szCs w:val="21"/>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eastAsia" w:ascii="Times New Roman" w:hAnsi="Times New Roman" w:eastAsia="宋体"/>
                <w:szCs w:val="21"/>
              </w:rPr>
              <w:t>正压式空气呼吸器、便携式硫化氢报警仪应处于随时可用状态，每次检查应有检查记录，记录至少保存一年。</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 6277-2017</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5.1.3.1</w:t>
            </w:r>
            <w:r>
              <w:rPr>
                <w:rFonts w:hint="eastAsia" w:ascii="Times New Roman" w:hAnsi="Times New Roman" w:eastAsia="宋体"/>
                <w:szCs w:val="21"/>
              </w:rPr>
              <w:t>、5</w:t>
            </w:r>
            <w:r>
              <w:rPr>
                <w:rFonts w:hint="default" w:ascii="Times New Roman" w:hAnsi="Times New Roman" w:eastAsia="宋体"/>
                <w:szCs w:val="21"/>
              </w:rPr>
              <w:t>.2.3.1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szCs w:val="21"/>
                <w:lang w:val="en-US" w:eastAsia="zh-CN"/>
              </w:rPr>
              <w:t>经与技术人员沟通，</w:t>
            </w:r>
            <w:r>
              <w:rPr>
                <w:rFonts w:hint="eastAsia" w:ascii="Times New Roman" w:hAnsi="Times New Roman" w:eastAsia="宋体"/>
                <w:szCs w:val="21"/>
              </w:rPr>
              <w:t>正压式空气呼吸器、便携式硫化氢报警仪</w:t>
            </w:r>
            <w:r>
              <w:rPr>
                <w:rFonts w:hint="eastAsia"/>
                <w:szCs w:val="21"/>
                <w:lang w:val="en-US" w:eastAsia="zh-CN"/>
              </w:rPr>
              <w:t>均</w:t>
            </w:r>
            <w:r>
              <w:rPr>
                <w:rFonts w:hint="eastAsia" w:ascii="Times New Roman" w:hAnsi="Times New Roman" w:eastAsia="宋体"/>
                <w:szCs w:val="21"/>
              </w:rPr>
              <w:t>处于随时可用状态</w:t>
            </w:r>
            <w:r>
              <w:rPr>
                <w:rFonts w:hint="eastAsia"/>
                <w:szCs w:val="21"/>
                <w:lang w:eastAsia="zh-CN"/>
              </w:rPr>
              <w:t>，</w:t>
            </w:r>
            <w:r>
              <w:rPr>
                <w:rFonts w:hint="eastAsia"/>
                <w:szCs w:val="21"/>
                <w:lang w:val="en-US" w:eastAsia="zh-CN"/>
              </w:rPr>
              <w:t>但检查无记录痕迹。</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szCs w:val="21"/>
                <w:lang w:val="en-US" w:eastAsia="zh-CN"/>
              </w:rPr>
            </w:pPr>
            <w:r>
              <w:rPr>
                <w:rFonts w:hint="eastAsia"/>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正压式空气呼吸器应存放在易于取用的地点；存放地点应有醒目标志，且清洁、卫生、阴凉、干燥，免收污染和碰撞。</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 6277-2017</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5.1.5.1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eastAsia" w:ascii="Times New Roman" w:hAnsi="Times New Roman" w:eastAsia="宋体"/>
                <w:szCs w:val="21"/>
                <w:lang w:eastAsia="zh-CN"/>
              </w:rPr>
            </w:pPr>
            <w:r>
              <w:rPr>
                <w:rFonts w:hint="eastAsia" w:ascii="Times New Roman" w:hAnsi="Times New Roman" w:eastAsia="宋体"/>
                <w:szCs w:val="21"/>
              </w:rPr>
              <w:t>正压式空气呼吸器存放在易于取用的地点</w:t>
            </w:r>
            <w:r>
              <w:rPr>
                <w:rFonts w:hint="eastAsia"/>
                <w:szCs w:val="21"/>
                <w:lang w:eastAsia="zh-CN"/>
              </w:rPr>
              <w:t>。</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eastAsia" w:ascii="Times New Roman" w:hAnsi="Times New Roman" w:eastAsia="宋体"/>
                <w:szCs w:val="21"/>
              </w:rPr>
              <w:t>硫化氢环境中人员，上岗前接受硫化氢防护技术培训，经考核合格后持硫化氢防护安全培训合格证上岗。</w:t>
            </w:r>
          </w:p>
        </w:tc>
        <w:tc>
          <w:tcPr>
            <w:tcW w:w="1670"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S</w:t>
            </w:r>
            <w:r>
              <w:rPr>
                <w:rFonts w:hint="default" w:ascii="Times New Roman" w:hAnsi="Times New Roman" w:eastAsia="宋体"/>
                <w:szCs w:val="21"/>
              </w:rPr>
              <w:t>Y/T5087-2017</w:t>
            </w:r>
          </w:p>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3</w:t>
            </w:r>
            <w:r>
              <w:rPr>
                <w:rFonts w:hint="default" w:ascii="Times New Roman" w:hAnsi="Times New Roman" w:eastAsia="宋体"/>
                <w:szCs w:val="21"/>
              </w:rPr>
              <w:t>.2</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szCs w:val="21"/>
                <w:lang w:val="en-US" w:eastAsia="zh-CN"/>
              </w:rPr>
              <w:t>现场作业人员均参加硫化氢培训，取得硫化氢培训合格证。</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suppressLineNumbers w:val="0"/>
              <w:adjustRightInd w:val="0"/>
              <w:snapToGrid w:val="0"/>
              <w:spacing w:before="60" w:beforeLines="25" w:beforeAutospacing="0" w:after="60" w:afterLines="25" w:afterAutospacing="0"/>
              <w:ind w:left="0" w:right="0"/>
              <w:jc w:val="center"/>
              <w:rPr>
                <w:rFonts w:hint="eastAsia" w:ascii="Times New Roman" w:hAnsi="Times New Roman" w:eastAsia="宋体"/>
                <w:b/>
                <w:szCs w:val="21"/>
              </w:rPr>
            </w:pPr>
            <w:r>
              <w:rPr>
                <w:rFonts w:hint="eastAsia" w:ascii="Times New Roman" w:hAnsi="Times New Roman" w:eastAsia="宋体"/>
                <w:b/>
                <w:szCs w:val="21"/>
              </w:rPr>
              <w:t>4</w:t>
            </w:r>
          </w:p>
        </w:tc>
        <w:tc>
          <w:tcPr>
            <w:tcW w:w="7820" w:type="dxa"/>
            <w:gridSpan w:val="4"/>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left"/>
              <w:rPr>
                <w:rFonts w:hint="default" w:ascii="Times New Roman" w:hAnsi="Times New Roman" w:eastAsia="宋体"/>
                <w:b/>
                <w:szCs w:val="21"/>
              </w:rPr>
            </w:pPr>
            <w:r>
              <w:rPr>
                <w:rFonts w:hint="default" w:ascii="Times New Roman" w:hAnsi="Times New Roman" w:eastAsia="宋体"/>
                <w:b/>
                <w:szCs w:val="21"/>
              </w:rPr>
              <w:t>防爆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default" w:ascii="Times New Roman" w:hAnsi="Times New Roman" w:eastAsia="宋体"/>
                <w:szCs w:val="21"/>
              </w:rPr>
            </w:pPr>
            <w:r>
              <w:rPr>
                <w:rFonts w:hint="default" w:ascii="Times New Roman" w:hAnsi="Times New Roman" w:eastAsia="宋体"/>
                <w:szCs w:val="21"/>
              </w:rPr>
              <w:t>含硫化氢井，在钻台上、井架底座周围、振动筛、液体罐和其他硫化氢可能聚集的地方应使用防爆通风设备。</w:t>
            </w:r>
          </w:p>
        </w:tc>
        <w:tc>
          <w:tcPr>
            <w:tcW w:w="1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SY/T 5087-2017</w:t>
            </w:r>
          </w:p>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5.1.11</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rPr>
                <w:rFonts w:hint="default" w:ascii="Times New Roman" w:hAnsi="Times New Roman" w:eastAsia="宋体"/>
                <w:szCs w:val="21"/>
                <w:lang w:val="en-US" w:eastAsia="zh-CN"/>
              </w:rPr>
            </w:pPr>
            <w:r>
              <w:rPr>
                <w:rFonts w:hint="eastAsia"/>
                <w:szCs w:val="21"/>
                <w:lang w:val="en-US" w:eastAsia="zh-CN"/>
              </w:rPr>
              <w:t>野营房采用防爆排风扇。</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default" w:ascii="Times New Roman" w:hAnsi="Times New Roman" w:eastAsia="宋体"/>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05" w:type="dxa"/>
            <w:noWrap w:val="0"/>
            <w:tcMar>
              <w:left w:w="0" w:type="dxa"/>
              <w:right w:w="0" w:type="dxa"/>
            </w:tcMar>
            <w:vAlign w:val="center"/>
          </w:tcPr>
          <w:p>
            <w:pPr>
              <w:keepNext w:val="0"/>
              <w:keepLines w:val="0"/>
              <w:widowControl/>
              <w:numPr>
                <w:ilvl w:val="0"/>
                <w:numId w:val="18"/>
              </w:numPr>
              <w:suppressLineNumbers w:val="0"/>
              <w:tabs>
                <w:tab w:val="left" w:pos="240"/>
              </w:tabs>
              <w:adjustRightInd w:val="0"/>
              <w:snapToGrid w:val="0"/>
              <w:spacing w:before="60" w:beforeLines="25" w:beforeAutospacing="0" w:after="60" w:afterLines="25" w:afterAutospacing="0"/>
              <w:ind w:right="0"/>
              <w:jc w:val="center"/>
              <w:rPr>
                <w:rFonts w:hint="default" w:ascii="Times New Roman" w:hAnsi="Times New Roman" w:eastAsia="宋体"/>
                <w:szCs w:val="21"/>
              </w:rPr>
            </w:pPr>
          </w:p>
        </w:tc>
        <w:tc>
          <w:tcPr>
            <w:tcW w:w="3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left"/>
              <w:rPr>
                <w:rFonts w:hint="eastAsia" w:ascii="Times New Roman" w:hAnsi="Times New Roman" w:eastAsia="宋体"/>
                <w:szCs w:val="21"/>
              </w:rPr>
            </w:pPr>
            <w:r>
              <w:rPr>
                <w:rFonts w:hint="eastAsia" w:ascii="Times New Roman" w:hAnsi="Times New Roman" w:eastAsia="宋体"/>
                <w:szCs w:val="21"/>
              </w:rPr>
              <w:t>井场距井控3</w:t>
            </w:r>
            <w:r>
              <w:rPr>
                <w:rFonts w:hint="default" w:ascii="Times New Roman" w:hAnsi="Times New Roman" w:eastAsia="宋体"/>
                <w:szCs w:val="21"/>
              </w:rPr>
              <w:t>0</w:t>
            </w:r>
            <w:r>
              <w:rPr>
                <w:rFonts w:hint="eastAsia" w:ascii="Times New Roman" w:hAnsi="Times New Roman" w:eastAsia="宋体"/>
                <w:szCs w:val="21"/>
              </w:rPr>
              <w:t>m以内的电气系统，包括电机、开关、照明灯具、仪器仪表、电器线路及接插件、各种电动工具在内的所有电气设备均应符合防爆要求。</w:t>
            </w:r>
          </w:p>
        </w:tc>
        <w:tc>
          <w:tcPr>
            <w:tcW w:w="1670" w:type="dxa"/>
            <w:noWrap w:val="0"/>
            <w:tcMar>
              <w:left w:w="0" w:type="dxa"/>
              <w:right w:w="0" w:type="dxa"/>
            </w:tcMar>
            <w:vAlign w:val="center"/>
          </w:tcPr>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S</w:t>
            </w:r>
            <w:r>
              <w:rPr>
                <w:rFonts w:hint="default" w:ascii="Times New Roman" w:hAnsi="Times New Roman" w:eastAsia="宋体"/>
                <w:szCs w:val="21"/>
              </w:rPr>
              <w:t>Y/T5225</w:t>
            </w:r>
            <w:r>
              <w:rPr>
                <w:rFonts w:hint="eastAsia" w:ascii="Times New Roman" w:hAnsi="Times New Roman" w:eastAsia="宋体"/>
                <w:szCs w:val="21"/>
              </w:rPr>
              <w:t>-</w:t>
            </w:r>
            <w:r>
              <w:rPr>
                <w:rFonts w:hint="default" w:ascii="Times New Roman" w:hAnsi="Times New Roman" w:eastAsia="宋体"/>
                <w:szCs w:val="21"/>
              </w:rPr>
              <w:t>2019</w:t>
            </w:r>
          </w:p>
          <w:p>
            <w:pPr>
              <w:keepNext w:val="0"/>
              <w:keepLines w:val="0"/>
              <w:widowControl/>
              <w:suppressLineNumbers w:val="0"/>
              <w:autoSpaceDE w:val="0"/>
              <w:autoSpaceDN w:val="0"/>
              <w:adjustRightInd w:val="0"/>
              <w:snapToGrid w:val="0"/>
              <w:spacing w:before="60" w:beforeLines="25" w:beforeAutospacing="0" w:after="60" w:afterLines="25" w:afterAutospacing="0"/>
              <w:ind w:left="0" w:right="0"/>
              <w:jc w:val="center"/>
              <w:rPr>
                <w:rFonts w:hint="default" w:ascii="Times New Roman" w:hAnsi="Times New Roman" w:eastAsia="宋体"/>
                <w:szCs w:val="21"/>
              </w:rPr>
            </w:pPr>
            <w:r>
              <w:rPr>
                <w:rFonts w:hint="eastAsia" w:ascii="Times New Roman" w:hAnsi="Times New Roman" w:eastAsia="宋体"/>
                <w:szCs w:val="21"/>
              </w:rPr>
              <w:t>3</w:t>
            </w:r>
            <w:r>
              <w:rPr>
                <w:rFonts w:hint="default" w:ascii="Times New Roman" w:hAnsi="Times New Roman" w:eastAsia="宋体"/>
                <w:szCs w:val="21"/>
              </w:rPr>
              <w:t>.2.5</w:t>
            </w:r>
          </w:p>
        </w:tc>
        <w:tc>
          <w:tcPr>
            <w:tcW w:w="1876"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leftChars="0" w:right="0" w:rightChars="0"/>
              <w:rPr>
                <w:rFonts w:hint="default" w:ascii="Times New Roman" w:hAnsi="Times New Roman" w:eastAsia="宋体"/>
                <w:szCs w:val="21"/>
                <w:lang w:val="en-US" w:eastAsia="zh-CN"/>
              </w:rPr>
            </w:pPr>
            <w:r>
              <w:rPr>
                <w:rFonts w:hint="eastAsia"/>
                <w:szCs w:val="21"/>
                <w:lang w:val="en-US" w:eastAsia="zh-CN"/>
              </w:rPr>
              <w:t>现场仪器工具间布置在井口30m以外。</w:t>
            </w:r>
          </w:p>
        </w:tc>
        <w:tc>
          <w:tcPr>
            <w:tcW w:w="604" w:type="dxa"/>
            <w:noWrap w:val="0"/>
            <w:tcMar>
              <w:left w:w="0" w:type="dxa"/>
              <w:right w:w="0" w:type="dxa"/>
            </w:tcMar>
            <w:vAlign w:val="center"/>
          </w:tcPr>
          <w:p>
            <w:pPr>
              <w:keepNext w:val="0"/>
              <w:keepLines w:val="0"/>
              <w:suppressLineNumbers w:val="0"/>
              <w:adjustRightInd w:val="0"/>
              <w:snapToGrid w:val="0"/>
              <w:spacing w:before="60" w:beforeLines="25" w:beforeAutospacing="0" w:after="60" w:afterLines="25" w:afterAutospacing="0"/>
              <w:ind w:left="0" w:leftChars="0" w:right="0" w:rightChars="0"/>
              <w:jc w:val="center"/>
              <w:rPr>
                <w:rFonts w:hint="default" w:ascii="Times New Roman" w:hAnsi="Times New Roman" w:eastAsia="宋体"/>
                <w:szCs w:val="21"/>
              </w:rPr>
            </w:pPr>
            <w:r>
              <w:rPr>
                <w:rFonts w:hint="default" w:ascii="Times New Roman" w:hAnsi="Times New Roman" w:eastAsia="宋体"/>
                <w:szCs w:val="21"/>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eastAsia="宋体"/>
          <w:sz w:val="28"/>
          <w:szCs w:val="28"/>
          <w:lang w:eastAsia="zh-CN"/>
        </w:rPr>
      </w:pPr>
      <w:r>
        <w:rPr>
          <w:rFonts w:hint="eastAsia"/>
          <w:sz w:val="28"/>
          <w:szCs w:val="28"/>
        </w:rPr>
        <w:t>评价小结</w:t>
      </w:r>
      <w:r>
        <w:rPr>
          <w:rFonts w:hint="eastAsia"/>
          <w:sz w:val="28"/>
          <w:szCs w:val="28"/>
          <w:lang w:eastAsia="zh-CN"/>
        </w:rPr>
        <w:t>：</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安全检查表共设</w:t>
      </w:r>
      <w:r>
        <w:rPr>
          <w:rFonts w:hint="eastAsia"/>
          <w:sz w:val="28"/>
          <w:szCs w:val="28"/>
          <w:lang w:val="en-US" w:eastAsia="zh-CN"/>
        </w:rPr>
        <w:t>29</w:t>
      </w:r>
      <w:r>
        <w:rPr>
          <w:rFonts w:hint="eastAsia"/>
          <w:sz w:val="28"/>
          <w:szCs w:val="28"/>
        </w:rPr>
        <w:t>项检查内容，</w:t>
      </w:r>
      <w:r>
        <w:rPr>
          <w:rFonts w:hint="eastAsia"/>
          <w:sz w:val="28"/>
          <w:szCs w:val="28"/>
          <w:lang w:val="en-US" w:eastAsia="zh-CN"/>
        </w:rPr>
        <w:t>28</w:t>
      </w:r>
      <w:r>
        <w:rPr>
          <w:rFonts w:hint="eastAsia"/>
          <w:sz w:val="28"/>
          <w:szCs w:val="28"/>
        </w:rPr>
        <w:t>项符合要求，</w:t>
      </w:r>
      <w:r>
        <w:rPr>
          <w:rFonts w:hint="eastAsia"/>
          <w:sz w:val="28"/>
          <w:szCs w:val="28"/>
          <w:lang w:val="en-US" w:eastAsia="zh-CN"/>
        </w:rPr>
        <w:t>1</w:t>
      </w:r>
      <w:r>
        <w:rPr>
          <w:rFonts w:hint="eastAsia"/>
          <w:sz w:val="28"/>
          <w:szCs w:val="28"/>
        </w:rPr>
        <w:t>项不符合</w:t>
      </w:r>
      <w:r>
        <w:rPr>
          <w:rFonts w:hint="eastAsia"/>
          <w:sz w:val="28"/>
          <w:szCs w:val="28"/>
          <w:lang w:eastAsia="zh-CN"/>
        </w:rPr>
        <w:t>：</w:t>
      </w:r>
    </w:p>
    <w:p>
      <w:pPr>
        <w:adjustRightInd w:val="0"/>
        <w:snapToGrid w:val="0"/>
        <w:spacing w:line="360" w:lineRule="auto"/>
        <w:ind w:firstLine="560" w:firstLineChars="200"/>
        <w:rPr>
          <w:rFonts w:hint="default"/>
          <w:sz w:val="28"/>
          <w:szCs w:val="28"/>
          <w:lang w:val="en-US" w:eastAsia="zh-CN"/>
        </w:rPr>
      </w:pPr>
      <w:bookmarkStart w:id="120" w:name="_Hlk535847503"/>
      <w:r>
        <w:rPr>
          <w:rFonts w:hint="eastAsia"/>
          <w:sz w:val="28"/>
          <w:szCs w:val="28"/>
          <w:lang w:val="en-US" w:eastAsia="zh-CN"/>
        </w:rPr>
        <w:t>1.现场正压式空气呼吸器、便携式硫化氢报警仪检查无记录痕迹。</w:t>
      </w:r>
    </w:p>
    <w:p>
      <w:pPr>
        <w:pStyle w:val="4"/>
        <w:adjustRightInd w:val="0"/>
        <w:snapToGrid w:val="0"/>
        <w:spacing w:before="0" w:after="0" w:line="360" w:lineRule="auto"/>
        <w:rPr>
          <w:rFonts w:ascii="Times New Roman" w:hAnsi="Times New Roman" w:eastAsia="楷体_GB2312"/>
          <w:sz w:val="28"/>
          <w:szCs w:val="28"/>
        </w:rPr>
      </w:pPr>
      <w:bookmarkStart w:id="121" w:name="_Toc281310750"/>
      <w:bookmarkStart w:id="122" w:name="_Toc446488251"/>
      <w:bookmarkStart w:id="123" w:name="_Toc27605"/>
      <w:r>
        <w:rPr>
          <w:rFonts w:hint="eastAsia" w:ascii="Times New Roman" w:hAnsi="Times New Roman"/>
          <w:b w:val="0"/>
          <w:bCs/>
          <w:szCs w:val="32"/>
        </w:rPr>
        <w:t xml:space="preserve">5.2 </w:t>
      </w:r>
      <w:r>
        <w:rPr>
          <w:rFonts w:ascii="Times New Roman" w:hAnsi="Times New Roman"/>
          <w:b w:val="0"/>
          <w:bCs/>
          <w:szCs w:val="32"/>
        </w:rPr>
        <w:t xml:space="preserve"> </w:t>
      </w:r>
      <w:r>
        <w:rPr>
          <w:rFonts w:hint="eastAsia" w:ascii="Times New Roman" w:hAnsi="Times New Roman"/>
          <w:b w:val="0"/>
          <w:bCs/>
          <w:szCs w:val="32"/>
        </w:rPr>
        <w:t>管理单元安全检查表</w:t>
      </w:r>
      <w:bookmarkEnd w:id="121"/>
      <w:bookmarkEnd w:id="122"/>
      <w:bookmarkEnd w:id="123"/>
    </w:p>
    <w:p>
      <w:pPr>
        <w:adjustRightInd w:val="0"/>
        <w:snapToGrid w:val="0"/>
        <w:spacing w:line="360" w:lineRule="auto"/>
        <w:ind w:firstLine="560" w:firstLineChars="200"/>
        <w:rPr>
          <w:sz w:val="28"/>
        </w:rPr>
      </w:pPr>
      <w:r>
        <w:rPr>
          <w:rFonts w:hint="eastAsia"/>
          <w:sz w:val="28"/>
        </w:rPr>
        <w:t>本节根据《中华人民共和国安全生产法》（</w:t>
      </w:r>
      <w:r>
        <w:rPr>
          <w:rFonts w:hint="eastAsia"/>
          <w:color w:val="auto"/>
          <w:sz w:val="28"/>
        </w:rPr>
        <w:t>主席令[20</w:t>
      </w:r>
      <w:r>
        <w:rPr>
          <w:rFonts w:hint="eastAsia"/>
          <w:color w:val="auto"/>
          <w:sz w:val="28"/>
          <w:lang w:val="en-US" w:eastAsia="zh-CN"/>
        </w:rPr>
        <w:t>21</w:t>
      </w:r>
      <w:r>
        <w:rPr>
          <w:rFonts w:hint="eastAsia"/>
          <w:color w:val="auto"/>
          <w:sz w:val="28"/>
        </w:rPr>
        <w:t>]第</w:t>
      </w:r>
      <w:r>
        <w:rPr>
          <w:rFonts w:hint="eastAsia"/>
          <w:color w:val="auto"/>
          <w:sz w:val="28"/>
          <w:lang w:val="en-US" w:eastAsia="zh-CN"/>
        </w:rPr>
        <w:t>88</w:t>
      </w:r>
      <w:r>
        <w:rPr>
          <w:rFonts w:hint="eastAsia"/>
          <w:color w:val="auto"/>
          <w:sz w:val="28"/>
        </w:rPr>
        <w:t>号</w:t>
      </w:r>
      <w:r>
        <w:rPr>
          <w:rFonts w:hint="eastAsia"/>
          <w:color w:val="auto"/>
          <w:sz w:val="28"/>
          <w:lang w:val="en-US" w:eastAsia="zh-CN"/>
        </w:rPr>
        <w:t>修订</w:t>
      </w:r>
      <w:r>
        <w:rPr>
          <w:rFonts w:hint="eastAsia"/>
          <w:sz w:val="28"/>
        </w:rPr>
        <w:t>）、《非煤矿矿山企业安全生产许可证实施办法》</w:t>
      </w:r>
      <w:r>
        <w:rPr>
          <w:rFonts w:hint="eastAsia"/>
          <w:sz w:val="28"/>
          <w:lang w:eastAsia="zh-CN"/>
        </w:rPr>
        <w:t>（</w:t>
      </w:r>
      <w:r>
        <w:rPr>
          <w:rFonts w:hint="eastAsia"/>
          <w:sz w:val="28"/>
        </w:rPr>
        <w:t>国家安全生产监督管理总局令[2009]第20号，2015修订版</w:t>
      </w:r>
      <w:r>
        <w:rPr>
          <w:rFonts w:hint="eastAsia"/>
          <w:sz w:val="28"/>
          <w:lang w:eastAsia="zh-CN"/>
        </w:rPr>
        <w:t>）</w:t>
      </w:r>
      <w:r>
        <w:rPr>
          <w:rFonts w:hint="eastAsia"/>
          <w:sz w:val="28"/>
        </w:rPr>
        <w:t>、《山东省生产经营单位安全生产主体责任规定》（山东省人民政府令第3</w:t>
      </w:r>
      <w:r>
        <w:rPr>
          <w:sz w:val="28"/>
        </w:rPr>
        <w:t>11</w:t>
      </w:r>
      <w:r>
        <w:rPr>
          <w:rFonts w:hint="eastAsia"/>
          <w:sz w:val="28"/>
        </w:rPr>
        <w:t>号修订）等法律法规，对本项目安全管理单元进行安全评价，具体</w:t>
      </w:r>
      <w:r>
        <w:rPr>
          <w:sz w:val="28"/>
        </w:rPr>
        <w:t>评价</w:t>
      </w:r>
      <w:r>
        <w:rPr>
          <w:rFonts w:hint="eastAsia"/>
          <w:sz w:val="28"/>
        </w:rPr>
        <w:t>过程</w:t>
      </w:r>
      <w:r>
        <w:rPr>
          <w:sz w:val="28"/>
        </w:rPr>
        <w:t>见</w:t>
      </w:r>
      <w:r>
        <w:rPr>
          <w:rFonts w:hint="eastAsia"/>
          <w:sz w:val="28"/>
        </w:rPr>
        <w:t>表5</w:t>
      </w:r>
      <w:r>
        <w:rPr>
          <w:rFonts w:hint="eastAsia"/>
          <w:sz w:val="28"/>
          <w:lang w:val="en-US" w:eastAsia="zh-CN"/>
        </w:rPr>
        <w:t>.2-1</w:t>
      </w:r>
      <w:r>
        <w:rPr>
          <w:rFonts w:hint="eastAsia"/>
          <w:sz w:val="28"/>
        </w:rPr>
        <w:t>。</w:t>
      </w:r>
    </w:p>
    <w:p>
      <w:pPr>
        <w:adjustRightInd w:val="0"/>
        <w:snapToGrid w:val="0"/>
        <w:spacing w:line="360" w:lineRule="auto"/>
        <w:jc w:val="center"/>
        <w:rPr>
          <w:b/>
          <w:bCs w:val="0"/>
          <w:sz w:val="24"/>
        </w:rPr>
      </w:pPr>
      <w:r>
        <w:rPr>
          <w:rFonts w:hint="eastAsia"/>
          <w:b/>
          <w:bCs w:val="0"/>
          <w:sz w:val="24"/>
        </w:rPr>
        <w:t>表5</w:t>
      </w:r>
      <w:r>
        <w:rPr>
          <w:rFonts w:hint="eastAsia"/>
          <w:b/>
          <w:bCs w:val="0"/>
          <w:sz w:val="24"/>
          <w:lang w:val="en-US" w:eastAsia="zh-CN"/>
        </w:rPr>
        <w:t>.</w:t>
      </w:r>
      <w:r>
        <w:rPr>
          <w:rFonts w:hint="eastAsia"/>
          <w:b/>
          <w:bCs w:val="0"/>
          <w:sz w:val="24"/>
        </w:rPr>
        <w:t>2</w:t>
      </w:r>
      <w:r>
        <w:rPr>
          <w:rFonts w:hint="eastAsia"/>
          <w:b/>
          <w:bCs w:val="0"/>
          <w:sz w:val="24"/>
          <w:lang w:val="en-US" w:eastAsia="zh-CN"/>
        </w:rPr>
        <w:t>-1</w:t>
      </w:r>
      <w:r>
        <w:rPr>
          <w:rFonts w:hint="eastAsia"/>
          <w:b/>
          <w:bCs w:val="0"/>
          <w:sz w:val="24"/>
        </w:rPr>
        <w:t xml:space="preserve"> </w:t>
      </w:r>
      <w:r>
        <w:rPr>
          <w:b/>
          <w:bCs w:val="0"/>
          <w:sz w:val="24"/>
        </w:rPr>
        <w:t xml:space="preserve"> </w:t>
      </w:r>
      <w:r>
        <w:rPr>
          <w:rFonts w:hint="eastAsia"/>
          <w:b/>
          <w:bCs w:val="0"/>
          <w:sz w:val="24"/>
        </w:rPr>
        <w:t>管理单元安全检查表</w:t>
      </w:r>
    </w:p>
    <w:tbl>
      <w:tblPr>
        <w:tblStyle w:val="52"/>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27"/>
        <w:gridCol w:w="2799"/>
        <w:gridCol w:w="2552"/>
        <w:gridCol w:w="2019"/>
        <w:gridCol w:w="72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blHeader/>
        </w:trPr>
        <w:tc>
          <w:tcPr>
            <w:tcW w:w="427"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kern w:val="0"/>
                <w:szCs w:val="21"/>
              </w:rPr>
            </w:pPr>
            <w:r>
              <w:rPr>
                <w:rFonts w:hint="default" w:ascii="Times New Roman" w:hAnsi="Times New Roman" w:cs="Times New Roman"/>
                <w:b/>
                <w:kern w:val="0"/>
                <w:szCs w:val="21"/>
              </w:rPr>
              <w:t>序号</w:t>
            </w:r>
          </w:p>
        </w:tc>
        <w:tc>
          <w:tcPr>
            <w:tcW w:w="2799"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kern w:val="0"/>
                <w:szCs w:val="21"/>
              </w:rPr>
            </w:pPr>
            <w:r>
              <w:rPr>
                <w:rFonts w:hint="default" w:ascii="Times New Roman" w:hAnsi="Times New Roman" w:cs="Times New Roman"/>
                <w:b/>
                <w:kern w:val="0"/>
                <w:szCs w:val="21"/>
              </w:rPr>
              <w:t>检查内容</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kern w:val="0"/>
                <w:szCs w:val="21"/>
              </w:rPr>
            </w:pPr>
            <w:r>
              <w:rPr>
                <w:rFonts w:hint="default" w:ascii="Times New Roman" w:hAnsi="Times New Roman" w:cs="Times New Roman"/>
                <w:b/>
                <w:kern w:val="0"/>
                <w:szCs w:val="21"/>
              </w:rPr>
              <w:t>依据</w:t>
            </w:r>
          </w:p>
        </w:tc>
        <w:tc>
          <w:tcPr>
            <w:tcW w:w="2019"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b/>
                <w:kern w:val="0"/>
                <w:szCs w:val="21"/>
              </w:rPr>
            </w:pPr>
            <w:r>
              <w:rPr>
                <w:rFonts w:hint="default" w:ascii="Times New Roman" w:hAnsi="Times New Roman" w:cs="Times New Roman"/>
                <w:b/>
                <w:kern w:val="0"/>
                <w:szCs w:val="21"/>
              </w:rPr>
              <w:t>实际情况</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kern w:val="0"/>
                <w:szCs w:val="21"/>
              </w:rPr>
            </w:pPr>
            <w:r>
              <w:rPr>
                <w:rFonts w:hint="eastAsia" w:ascii="Times New Roman" w:hAnsi="Times New Roman" w:cs="Times New Roman"/>
                <w:b/>
                <w:kern w:val="0"/>
                <w:szCs w:val="21"/>
              </w:rPr>
              <w:t>结论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eastAsia" w:ascii="宋体" w:hAnsi="宋体" w:cs="Times New Roman"/>
                <w:b/>
                <w:kern w:val="0"/>
                <w:szCs w:val="21"/>
              </w:rPr>
            </w:pPr>
            <w:r>
              <w:rPr>
                <w:rFonts w:hint="eastAsia" w:ascii="宋体" w:hAnsi="宋体" w:cs="Times New Roman"/>
                <w:b/>
                <w:kern w:val="0"/>
                <w:szCs w:val="21"/>
              </w:rPr>
              <w:t>一、安全管理制度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制定安全检查制度、职业危害预防制度、安全教育培训制度、生产安全事故管理制度、重大危险源监控和重大隐患整改制度、设备安全管理制度、安全生产档案管理制度、安全生产奖惩制度等规章制度。</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《非煤矿矿山企业安全生产许可证实施办法》</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第六条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color w:val="FF0000"/>
                <w:kern w:val="0"/>
                <w:szCs w:val="21"/>
                <w:lang w:val="en-US" w:eastAsia="zh-CN"/>
              </w:rPr>
            </w:pPr>
            <w:r>
              <w:rPr>
                <w:rFonts w:hint="eastAsia" w:ascii="宋体" w:hAnsi="宋体" w:cs="Times New Roman"/>
                <w:color w:val="auto"/>
                <w:kern w:val="0"/>
                <w:szCs w:val="21"/>
                <w:lang w:val="en-US" w:eastAsia="zh-CN"/>
              </w:rPr>
              <w:t>该公司制定了安全生</w:t>
            </w:r>
            <w:r>
              <w:rPr>
                <w:rFonts w:hint="default" w:ascii="Times New Roman" w:hAnsi="Times New Roman" w:cs="Times New Roman"/>
                <w:color w:val="auto"/>
                <w:kern w:val="0"/>
                <w:szCs w:val="21"/>
                <w:lang w:val="en-US" w:eastAsia="zh-CN"/>
              </w:rPr>
              <w:t>产例会制度、安全生产检查制度、安全教育培训制度、安全设备设施管理制度等4</w:t>
            </w:r>
            <w:r>
              <w:rPr>
                <w:rFonts w:hint="eastAsia" w:cs="Times New Roman"/>
                <w:color w:val="auto"/>
                <w:kern w:val="0"/>
                <w:szCs w:val="21"/>
                <w:lang w:val="en-US" w:eastAsia="zh-CN"/>
              </w:rPr>
              <w:t>4</w:t>
            </w:r>
            <w:r>
              <w:rPr>
                <w:rFonts w:hint="default" w:ascii="Times New Roman" w:hAnsi="Times New Roman" w:cs="Times New Roman"/>
                <w:color w:val="auto"/>
                <w:kern w:val="0"/>
                <w:szCs w:val="21"/>
                <w:lang w:val="en-US" w:eastAsia="zh-CN"/>
              </w:rPr>
              <w:t>项安全管理制度，详见报告第2.5.2节。</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安全生产管理制度应当涵盖本单位的安全生产会议、安全生产资金投入、安全生产教育培训和特种作业人员管理、劳动防护用品管理、安全设施和设备管理、职业病防治管理、安全生产检查、危险作业管理、事故隐患排查治理、重大危险源监控管理、安全生产奖惩、事故报告、应急救援，以及法律、法规、规章规定的其他内容。</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《山东省生产经营单位安全生产主体责任规定》第七条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安全生产规章制度应当包括安全生产资金投入、劳动防护用品管理、安全设施和设备管理、安全生产教育和培训、安全生产检查、风险分级管控、领导现场带班、隐患排查治理、危险作业管理、安全生产奖惩、应急预案管理、事故报告和事故应急救援等制度。</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第十五条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b/>
                <w:kern w:val="0"/>
                <w:szCs w:val="21"/>
              </w:rPr>
            </w:pPr>
            <w:r>
              <w:rPr>
                <w:rFonts w:hint="eastAsia" w:ascii="宋体" w:hAnsi="宋体" w:cs="Times New Roman"/>
                <w:b/>
                <w:kern w:val="0"/>
                <w:szCs w:val="21"/>
              </w:rPr>
              <w:t>二、</w:t>
            </w:r>
            <w:r>
              <w:rPr>
                <w:rFonts w:hint="default" w:ascii="宋体" w:hAnsi="宋体" w:cs="Times New Roman"/>
                <w:b/>
                <w:kern w:val="0"/>
                <w:szCs w:val="21"/>
              </w:rPr>
              <w:t>安全</w:t>
            </w:r>
            <w:r>
              <w:rPr>
                <w:rFonts w:hint="eastAsia" w:ascii="宋体" w:hAnsi="宋体" w:cs="Times New Roman"/>
                <w:b/>
                <w:kern w:val="0"/>
                <w:szCs w:val="21"/>
              </w:rPr>
              <w:t>生产责任制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生产经营单位应当建立健全全员安全生产责任制，明确生产经营单位主要负责人、其他负责人、职能部门负责人、生产车间（区队）负责人、生产班组负责人、一般从业人员等全体人员的安全生产责任范围和考核标准等内容，编制全员安全生产责任清单，并严格落实和考核。考核结果作为从业人员职务调整、收入分配等的重要依据。</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《山东省生产经营单位安全生产主体责任规定》第六条</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第十六条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已编</w:t>
            </w:r>
            <w:r>
              <w:rPr>
                <w:rFonts w:hint="default" w:ascii="Times New Roman" w:hAnsi="Times New Roman" w:cs="Times New Roman"/>
                <w:kern w:val="0"/>
                <w:szCs w:val="21"/>
                <w:lang w:val="en-US" w:eastAsia="zh-CN"/>
              </w:rPr>
              <w:t>制从</w:t>
            </w:r>
            <w:r>
              <w:rPr>
                <w:rFonts w:hint="eastAsia" w:ascii="Times New Roman" w:hAnsi="Times New Roman" w:cs="Times New Roman"/>
                <w:kern w:val="0"/>
                <w:szCs w:val="21"/>
                <w:lang w:val="en-US" w:eastAsia="zh-CN"/>
              </w:rPr>
              <w:t>董事长/</w:t>
            </w:r>
            <w:r>
              <w:rPr>
                <w:rFonts w:hint="default" w:ascii="Times New Roman" w:hAnsi="Times New Roman" w:cs="Times New Roman"/>
                <w:kern w:val="0"/>
                <w:szCs w:val="21"/>
                <w:lang w:val="en-US" w:eastAsia="zh-CN"/>
              </w:rPr>
              <w:t>总经理到</w:t>
            </w:r>
            <w:r>
              <w:rPr>
                <w:rFonts w:hint="eastAsia" w:ascii="Times New Roman" w:hAnsi="Times New Roman" w:cs="Times New Roman"/>
                <w:kern w:val="0"/>
                <w:szCs w:val="21"/>
                <w:lang w:val="en-US" w:eastAsia="zh-CN"/>
              </w:rPr>
              <w:t>文员等</w:t>
            </w:r>
            <w:r>
              <w:rPr>
                <w:rFonts w:hint="eastAsia" w:cs="Times New Roman"/>
                <w:kern w:val="0"/>
                <w:szCs w:val="21"/>
                <w:lang w:val="en-US" w:eastAsia="zh-CN"/>
              </w:rPr>
              <w:t>51</w:t>
            </w:r>
            <w:r>
              <w:rPr>
                <w:rFonts w:hint="eastAsia" w:ascii="Times New Roman" w:hAnsi="Times New Roman" w:cs="Times New Roman"/>
                <w:kern w:val="0"/>
                <w:szCs w:val="21"/>
                <w:lang w:val="en-US" w:eastAsia="zh-CN"/>
              </w:rPr>
              <w:t>项</w:t>
            </w:r>
            <w:r>
              <w:rPr>
                <w:rFonts w:hint="default" w:ascii="Times New Roman" w:hAnsi="Times New Roman" w:cs="Times New Roman"/>
                <w:kern w:val="0"/>
                <w:szCs w:val="21"/>
                <w:lang w:val="en-US" w:eastAsia="zh-CN"/>
              </w:rPr>
              <w:t>HSE职</w:t>
            </w:r>
            <w:r>
              <w:rPr>
                <w:rFonts w:hint="eastAsia" w:ascii="宋体" w:hAnsi="宋体" w:cs="Times New Roman"/>
                <w:kern w:val="0"/>
                <w:szCs w:val="21"/>
                <w:lang w:val="en-US" w:eastAsia="zh-CN"/>
              </w:rPr>
              <w:t>责，并制定了安全考核奖惩制度，明确了考核标准。</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生产经营单位主要负责人、其他负责人、职能部门负责人、生产车间（区队）负责人、生产班组负责人、一般从业人员等全体人员的安全生产责任应满足《生产经营单位全员安全生产责任清单》（鲁安办发〔2021〕50号）要求。</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《生产经营单位全员安全生产责任清单》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（鲁安办发〔2021〕50号）</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企业已按照安全生产责任清单制定的公司主要负责人及其他人员安全生产责任。</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三、安全操作规程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生产经营单位应当依据法律、法规、规章和国家、行业或者地方标准，制定涵盖本单位生产经营全过程和全体从业人员的安全操作规程。</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《山东省生产经营单位安全生产主体责任规定》</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第七条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企业已根据作业现场制定有仪表/工程施工人员操作规程。</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非煤矿矿山企业取得安全生产许可证，应当具备下列安全生产条件</w:t>
            </w:r>
            <w:r>
              <w:rPr>
                <w:rFonts w:hint="eastAsia" w:cs="Times New Roman"/>
                <w:kern w:val="0"/>
                <w:szCs w:val="21"/>
                <w:lang w:eastAsia="zh-CN"/>
              </w:rPr>
              <w:t>：</w:t>
            </w:r>
            <w:r>
              <w:rPr>
                <w:rFonts w:hint="eastAsia" w:ascii="Times New Roman" w:hAnsi="Times New Roman" w:cs="Times New Roman"/>
                <w:kern w:val="0"/>
                <w:szCs w:val="21"/>
              </w:rPr>
              <w:t>（一）制定作业安全规程和各工种操作规程。</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《非煤矿矿山企业安全生产许可证实施办法》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第六条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四、安全管理机构及安全管理人员</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矿山单位应当按照规定设置安全生产管理机构或者配备专职安全生产管理人员。</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第十六条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该公司设有安全部作为安全生产管理机构，配备专职安全管理人员，但未配备注册安全工程师。</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kern w:val="0"/>
                <w:szCs w:val="21"/>
                <w:lang w:eastAsia="zh-CN"/>
              </w:rPr>
            </w:pPr>
            <w:r>
              <w:rPr>
                <w:rFonts w:hint="eastAsia" w:ascii="Arial" w:hAnsi="Arial" w:cs="Arial"/>
                <w:kern w:val="0"/>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矿山单位（以下简称高危生产经营单位），应当按照下列规定设置安全生产管理机构或者配备安全生产管理人员</w:t>
            </w:r>
            <w:r>
              <w:rPr>
                <w:rFonts w:hint="eastAsia" w:cs="Times New Roman"/>
                <w:kern w:val="0"/>
                <w:szCs w:val="21"/>
                <w:lang w:eastAsia="zh-CN"/>
              </w:rPr>
              <w:t>：</w:t>
            </w:r>
            <w:r>
              <w:rPr>
                <w:rFonts w:hint="eastAsia" w:ascii="Times New Roman" w:hAnsi="Times New Roman" w:cs="Times New Roman"/>
                <w:kern w:val="0"/>
                <w:szCs w:val="21"/>
              </w:rPr>
              <w:t>从业人员在100人以上不足300人的，应当设置安全生产管理机构，并配备2名以上专职安全生产管理人员，其中至少应当有1名注册安全工程师。</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《山东省生产经营单位安全生产主体责任规定》</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第九条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矿山单位应当有注册安全工程师从事安全生产管理工作。</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《中华人民共和国安全生产法》第二十七条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未配备注册安全工程师从事安全管理工作。</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矿山单位应当有相应专业类别的中级及以上注册安全工程师从事安全生产管理工作。</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《注册安全工程师分类管理办法》第十二条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国家对注册安全工程师职业资格实行执业注册管理制度，按照专业类别进行注册。取得注册安全工程师职业资格证书的人员，经注册后方可以注册安全工程师名义执业。</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《注册安全工程师职业资格制度规定》第十五条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cs="Times New Roman"/>
                <w:kern w:val="0"/>
                <w:szCs w:val="21"/>
                <w:lang w:val="en-US"/>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注册安全工程师不得同时受聘于两个或两个以上单位执业，不得允许他人以本人名义执业，不得出租出借证书。违反上述规定的，由发证机构撤销其注册证书，5年内不予重新注册；构成犯罪的，依法追究刑事责任。</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《注册安全工程师职业资格制度规定》第十六条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both"/>
              <w:rPr>
                <w:rFonts w:hint="eastAsia" w:ascii="宋体" w:hAnsi="宋体" w:eastAsia="宋体" w:cs="Times New Roman"/>
                <w:kern w:val="0"/>
                <w:szCs w:val="21"/>
                <w:lang w:val="en-US" w:eastAsia="zh-CN"/>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从业人员一百人以上的高危生产经营单位应当依法设置安全总监。安全总监专项分管本单位安全生产管理工作。生产经营单位的安全生产管理机构和安全生产管理人员，在安全总监的领导下负责本单位的安全生产管理工作。</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第二十一条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未配备安全总监。</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cs="Times New Roman"/>
                <w:kern w:val="0"/>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安全总监应当具备下列基本条件</w:t>
            </w:r>
            <w:r>
              <w:rPr>
                <w:rFonts w:hint="eastAsia" w:cs="Times New Roman"/>
                <w:kern w:val="0"/>
                <w:szCs w:val="21"/>
                <w:lang w:eastAsia="zh-CN"/>
              </w:rPr>
              <w:t>：</w:t>
            </w:r>
            <w:r>
              <w:rPr>
                <w:rFonts w:hint="eastAsia" w:ascii="Times New Roman" w:hAnsi="Times New Roman" w:cs="Times New Roman"/>
                <w:kern w:val="0"/>
                <w:szCs w:val="21"/>
              </w:rPr>
              <w:t>取得工程师及以上职称或注册安全工程师资格，且在本行业领域内从事安全管理工作满3年。</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《山东省生产经营单位安全总监制度实施办法（试行）》</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both"/>
              <w:rPr>
                <w:rFonts w:hint="eastAsia" w:ascii="宋体" w:hAnsi="宋体" w:eastAsia="宋体" w:cs="Times New Roman"/>
                <w:kern w:val="0"/>
                <w:szCs w:val="21"/>
                <w:lang w:val="en-US" w:eastAsia="zh-CN"/>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从业人员三百人以上的高危生产经营单位应当建立安全生产委员会。</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安全生产委员会由本单位的主要负责人、其他负责人、安全生产管理机构以及其他职能部门负责人、工会代表和从业人员代表等人员组成。</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安全生产委员会负责组织、指导、协调本单位安全生产工作任务的贯彻落实，研究和审查本单位有关安全生产的重大事项。安全生产委员会每季度至少召开1次会议，会议情况应当如实记录。</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第二十二条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已成立安全生产管理委员会，成员包括主要负责人、其他负责人、安全管理人员及其他人员，并定期组织召开安全例会。</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b/>
                <w:bCs/>
                <w:kern w:val="0"/>
                <w:szCs w:val="21"/>
              </w:rPr>
            </w:pPr>
            <w:r>
              <w:rPr>
                <w:rFonts w:hint="eastAsia" w:ascii="Times New Roman" w:hAnsi="Times New Roman" w:cs="Times New Roman"/>
                <w:b/>
                <w:bCs/>
                <w:kern w:val="0"/>
                <w:szCs w:val="21"/>
              </w:rPr>
              <w:t>五、人员持证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default" w:ascii="Times New Roman" w:hAnsi="Times New Roman" w:cs="Times New Roman"/>
                <w:szCs w:val="21"/>
              </w:rPr>
            </w:pPr>
            <w:r>
              <w:rPr>
                <w:rFonts w:hint="eastAsia" w:ascii="Times New Roman" w:hAnsi="Times New Roman" w:cs="Times New Roman"/>
                <w:szCs w:val="21"/>
              </w:rPr>
              <w:t>高危生产经营单位的主要负责人、分管安全生产的负责人或者安全总监、安全生产管理人员，应当按照规定经主管的负有安全生产监督管理职责的部门考核合格。</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第二十七条</w:t>
            </w:r>
          </w:p>
        </w:tc>
        <w:tc>
          <w:tcPr>
            <w:tcW w:w="2019" w:type="dxa"/>
            <w:vMerge w:val="restart"/>
            <w:noWrap w:val="0"/>
            <w:vAlign w:val="center"/>
          </w:tcPr>
          <w:p>
            <w:pPr>
              <w:keepNext w:val="0"/>
              <w:keepLines w:val="0"/>
              <w:suppressLineNumbers w:val="0"/>
              <w:overflowPunct w:val="0"/>
              <w:spacing w:before="0" w:beforeAutospacing="0" w:after="0" w:afterAutospacing="0"/>
              <w:ind w:left="0" w:right="0"/>
              <w:jc w:val="both"/>
              <w:rPr>
                <w:rFonts w:hint="default" w:ascii="宋体" w:hAnsi="宋体" w:eastAsia="宋体" w:cs="Times New Roman"/>
                <w:szCs w:val="21"/>
                <w:lang w:val="en-US" w:eastAsia="zh-CN"/>
              </w:rPr>
            </w:pPr>
            <w:r>
              <w:rPr>
                <w:rFonts w:hint="eastAsia" w:ascii="宋体" w:hAnsi="宋体" w:cs="Times New Roman"/>
                <w:szCs w:val="21"/>
                <w:lang w:val="en-US" w:eastAsia="zh-CN"/>
              </w:rPr>
              <w:t>主</w:t>
            </w:r>
            <w:r>
              <w:rPr>
                <w:rFonts w:hint="default" w:ascii="Times New Roman" w:hAnsi="Times New Roman" w:cs="Times New Roman"/>
                <w:szCs w:val="21"/>
                <w:lang w:val="en-US" w:eastAsia="zh-CN"/>
              </w:rPr>
              <w:t>要负责人与安全管理人员已取得安全合格证</w:t>
            </w:r>
            <w:r>
              <w:rPr>
                <w:rFonts w:hint="eastAsia" w:cs="Times New Roman"/>
                <w:szCs w:val="21"/>
                <w:lang w:val="en-US" w:eastAsia="zh-CN"/>
              </w:rPr>
              <w:t>，</w:t>
            </w:r>
            <w:r>
              <w:rPr>
                <w:rFonts w:hint="eastAsia" w:ascii="Times New Roman" w:hAnsi="Times New Roman" w:eastAsia="宋体" w:cs="Times New Roman"/>
                <w:color w:val="auto"/>
                <w:kern w:val="2"/>
                <w:sz w:val="21"/>
                <w:szCs w:val="21"/>
                <w:lang w:val="en-US" w:eastAsia="zh-CN" w:bidi="ar-SA"/>
              </w:rPr>
              <w:t>王天梦安全合格证已通过考试，成绩合格</w:t>
            </w:r>
            <w:r>
              <w:rPr>
                <w:rFonts w:hint="eastAsia" w:ascii="Times New Roman" w:hAnsi="Times New Roman" w:cs="Times New Roman"/>
                <w:szCs w:val="21"/>
                <w:lang w:val="en-US" w:eastAsia="zh-CN"/>
              </w:rPr>
              <w:t>。主</w:t>
            </w:r>
            <w:r>
              <w:rPr>
                <w:rFonts w:hint="eastAsia"/>
                <w:szCs w:val="21"/>
                <w:lang w:val="en-US" w:eastAsia="zh-CN"/>
              </w:rPr>
              <w:t>要负责人与</w:t>
            </w:r>
            <w:bookmarkStart w:id="144" w:name="_GoBack"/>
            <w:bookmarkEnd w:id="144"/>
            <w:r>
              <w:rPr>
                <w:rFonts w:hint="eastAsia"/>
                <w:szCs w:val="21"/>
                <w:lang w:val="en-US" w:eastAsia="zh-CN"/>
              </w:rPr>
              <w:t>安全管理人员取证情况详见表2.7-1。</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kern w:val="0"/>
                <w:szCs w:val="21"/>
                <w:lang w:eastAsia="zh-CN"/>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非煤矿山等生产经营单位主要负责人和安全生产管理人员，自任职之日起6个月内，必须经安全生产监管监察部门对其安全生产知识和管理能力考核合格。</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《生产经营单位安全培训规定》第二十四条</w:t>
            </w:r>
          </w:p>
        </w:tc>
        <w:tc>
          <w:tcPr>
            <w:tcW w:w="2019" w:type="dxa"/>
            <w:vMerge w:val="continue"/>
            <w:noWrap w:val="0"/>
            <w:vAlign w:val="center"/>
          </w:tcPr>
          <w:p>
            <w:pPr>
              <w:keepNext w:val="0"/>
              <w:keepLines w:val="0"/>
              <w:suppressLineNumbers w:val="0"/>
              <w:overflowPunct w:val="0"/>
              <w:spacing w:before="0" w:beforeAutospacing="0" w:after="0" w:afterAutospacing="0"/>
              <w:ind w:left="0" w:right="0"/>
              <w:jc w:val="center"/>
              <w:rPr>
                <w:rFonts w:hint="default" w:ascii="宋体" w:hAnsi="宋体" w:cs="Times New Roman"/>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主要负责人和安全生产管理人员经安全生产监督管理部门考核合格，取得安全资格证书。</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《非煤矿矿山企业安全生产许可证实施办法》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第六条</w:t>
            </w:r>
          </w:p>
        </w:tc>
        <w:tc>
          <w:tcPr>
            <w:tcW w:w="2019" w:type="dxa"/>
            <w:vMerge w:val="continue"/>
            <w:noWrap w:val="0"/>
            <w:vAlign w:val="center"/>
          </w:tcPr>
          <w:p>
            <w:pPr>
              <w:keepNext w:val="0"/>
              <w:keepLines w:val="0"/>
              <w:suppressLineNumbers w:val="0"/>
              <w:overflowPunct w:val="0"/>
              <w:spacing w:before="0" w:beforeAutospacing="0" w:after="0" w:afterAutospacing="0"/>
              <w:ind w:left="0" w:right="0"/>
              <w:jc w:val="center"/>
              <w:rPr>
                <w:rFonts w:hint="default" w:ascii="宋体" w:hAnsi="宋体" w:cs="Times New Roman"/>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特种作业人员应当接受与其所从事的特种作业相应的安全技术理论培训和实际操作培训，取得特种作业相关资格证书后，方可上岗作业。</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第二十七条</w:t>
            </w:r>
          </w:p>
        </w:tc>
        <w:tc>
          <w:tcPr>
            <w:tcW w:w="2019" w:type="dxa"/>
            <w:vMerge w:val="restart"/>
            <w:noWrap w:val="0"/>
            <w:vAlign w:val="center"/>
          </w:tcPr>
          <w:p>
            <w:pPr>
              <w:keepNext w:val="0"/>
              <w:keepLines w:val="0"/>
              <w:suppressLineNumbers w:val="0"/>
              <w:overflowPunct w:val="0"/>
              <w:spacing w:before="0" w:beforeAutospacing="0" w:after="0" w:afterAutospacing="0"/>
              <w:ind w:left="0" w:right="0"/>
              <w:jc w:val="both"/>
              <w:rPr>
                <w:rFonts w:hint="default" w:ascii="宋体" w:hAnsi="宋体" w:eastAsia="宋体" w:cs="Times New Roman"/>
                <w:szCs w:val="21"/>
                <w:lang w:val="en-US" w:eastAsia="zh-CN"/>
              </w:rPr>
            </w:pPr>
            <w:r>
              <w:rPr>
                <w:rFonts w:hint="eastAsia" w:ascii="宋体" w:hAnsi="宋体" w:cs="Times New Roman"/>
                <w:szCs w:val="21"/>
                <w:lang w:val="en-US" w:eastAsia="zh-CN"/>
              </w:rPr>
              <w:t>该公司钻井（定向施工）作业不涉及特种作业人员。</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特种作业人员经有关业务主管部门考核合格，取得特种作业操作资格证书。</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《非煤矿矿山企业安全生产许可证实施办法》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第六条</w:t>
            </w:r>
          </w:p>
        </w:tc>
        <w:tc>
          <w:tcPr>
            <w:tcW w:w="2019" w:type="dxa"/>
            <w:vMerge w:val="continue"/>
            <w:noWrap w:val="0"/>
            <w:vAlign w:val="center"/>
          </w:tcPr>
          <w:p>
            <w:pPr>
              <w:keepNext w:val="0"/>
              <w:keepLines w:val="0"/>
              <w:suppressLineNumbers w:val="0"/>
              <w:overflowPunct w:val="0"/>
              <w:spacing w:before="0" w:beforeAutospacing="0" w:after="0" w:afterAutospacing="0"/>
              <w:ind w:left="0" w:right="0"/>
              <w:jc w:val="center"/>
              <w:rPr>
                <w:rFonts w:hint="default" w:ascii="宋体" w:hAnsi="宋体" w:cs="Times New Roman"/>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特种设备安全管理人员、检测人员和作业人员应当按照国家有关规定取得相应资格，方可从事相关工作。特种设备安全管理人员、检测人员和作业人员应当严格执行安全技术规范和管理制度，保证特种设备安全。</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《中华人民共和国特种设备安全法》第十四条</w:t>
            </w:r>
          </w:p>
        </w:tc>
        <w:tc>
          <w:tcPr>
            <w:tcW w:w="2019" w:type="dxa"/>
            <w:noWrap w:val="0"/>
            <w:vAlign w:val="center"/>
          </w:tcPr>
          <w:p>
            <w:pPr>
              <w:keepNext w:val="0"/>
              <w:keepLines w:val="0"/>
              <w:suppressLineNumbers w:val="0"/>
              <w:overflowPunct w:val="0"/>
              <w:spacing w:before="0" w:beforeAutospacing="0" w:after="0" w:afterAutospacing="0"/>
              <w:ind w:left="0" w:right="0"/>
              <w:jc w:val="both"/>
              <w:rPr>
                <w:rFonts w:hint="default" w:ascii="宋体" w:hAnsi="宋体" w:eastAsia="宋体" w:cs="Times New Roman"/>
                <w:kern w:val="2"/>
                <w:sz w:val="21"/>
                <w:szCs w:val="21"/>
                <w:lang w:val="en-US" w:eastAsia="zh-CN" w:bidi="ar-SA"/>
              </w:rPr>
            </w:pPr>
            <w:r>
              <w:rPr>
                <w:rFonts w:hint="eastAsia" w:ascii="宋体" w:hAnsi="宋体" w:cs="Times New Roman"/>
                <w:szCs w:val="21"/>
                <w:lang w:val="en-US" w:eastAsia="zh-CN"/>
              </w:rPr>
              <w:t>该公司钻井（定向施工）作业不涉及特种设备。</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在含硫化氢的油气田进行施工作业和油气生产前，所有生产作业人员包括现场监督人员应接受硫化氢防护的培训，培训应包括课堂培训和现场培训，由有资质的培训机构进行，培训时间应达到相应要求。应对临时人员和其他非定期派遣人员进行硫化氢防护知识的教育。</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《石油天然气安全规程》（A</w:t>
            </w:r>
            <w:r>
              <w:rPr>
                <w:rFonts w:hint="default" w:ascii="Times New Roman" w:hAnsi="Times New Roman" w:cs="Times New Roman"/>
                <w:kern w:val="0"/>
                <w:szCs w:val="21"/>
              </w:rPr>
              <w:t>Q2012-2007</w:t>
            </w:r>
            <w:r>
              <w:rPr>
                <w:rFonts w:hint="eastAsia" w:ascii="Times New Roman" w:hAnsi="Times New Roman" w:cs="Times New Roman"/>
                <w:kern w:val="0"/>
                <w:szCs w:val="21"/>
              </w:rPr>
              <w:t>）</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default" w:ascii="Times New Roman" w:hAnsi="Times New Roman" w:cs="Times New Roman"/>
                <w:kern w:val="0"/>
                <w:szCs w:val="21"/>
              </w:rPr>
              <w:t>4.5.1</w:t>
            </w:r>
          </w:p>
        </w:tc>
        <w:tc>
          <w:tcPr>
            <w:tcW w:w="2019" w:type="dxa"/>
            <w:vMerge w:val="restart"/>
            <w:noWrap w:val="0"/>
            <w:vAlign w:val="center"/>
          </w:tcPr>
          <w:p>
            <w:pPr>
              <w:keepNext w:val="0"/>
              <w:keepLines w:val="0"/>
              <w:suppressLineNumbers w:val="0"/>
              <w:overflowPunct w:val="0"/>
              <w:spacing w:before="0" w:beforeAutospacing="0" w:after="0" w:afterAutospacing="0"/>
              <w:ind w:left="0" w:right="0"/>
              <w:jc w:val="both"/>
              <w:rPr>
                <w:rFonts w:hint="default" w:ascii="宋体" w:hAnsi="宋体" w:eastAsia="宋体" w:cs="Times New Roman"/>
                <w:szCs w:val="21"/>
                <w:lang w:val="en-US" w:eastAsia="zh-CN"/>
              </w:rPr>
            </w:pPr>
            <w:r>
              <w:rPr>
                <w:rFonts w:hint="eastAsia" w:ascii="宋体" w:hAnsi="宋体" w:cs="Times New Roman"/>
                <w:szCs w:val="21"/>
                <w:lang w:val="en-US" w:eastAsia="zh-CN"/>
              </w:rPr>
              <w:t>现场作业人员已取得硫化氢</w:t>
            </w:r>
            <w:r>
              <w:rPr>
                <w:rFonts w:hint="default" w:ascii="Times New Roman" w:hAnsi="Times New Roman" w:cs="Times New Roman"/>
                <w:szCs w:val="21"/>
                <w:lang w:val="en-US" w:eastAsia="zh-CN"/>
              </w:rPr>
              <w:t>防护培训合格证，详见报告第2.7.3章节。</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在含硫化氢环境中的作业人员上岗前都应接受硫化氢防护培训，经考核合格后持证上岗。</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《石油天然气钻井井控技术规范》</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w:t>
            </w:r>
            <w:r>
              <w:rPr>
                <w:rFonts w:hint="default" w:ascii="Times New Roman" w:hAnsi="Times New Roman" w:cs="Times New Roman"/>
                <w:kern w:val="0"/>
                <w:szCs w:val="21"/>
              </w:rPr>
              <w:t>GB/T31033-2014</w:t>
            </w:r>
            <w:r>
              <w:rPr>
                <w:rFonts w:hint="eastAsia" w:ascii="Times New Roman" w:hAnsi="Times New Roman" w:cs="Times New Roman"/>
                <w:kern w:val="0"/>
                <w:szCs w:val="21"/>
              </w:rPr>
              <w:t>）</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1</w:t>
            </w:r>
            <w:r>
              <w:rPr>
                <w:rFonts w:hint="default" w:ascii="Times New Roman" w:hAnsi="Times New Roman" w:cs="Times New Roman"/>
                <w:kern w:val="0"/>
                <w:szCs w:val="21"/>
              </w:rPr>
              <w:t>0.2.1</w:t>
            </w:r>
          </w:p>
        </w:tc>
        <w:tc>
          <w:tcPr>
            <w:tcW w:w="2019" w:type="dxa"/>
            <w:vMerge w:val="continue"/>
            <w:noWrap w:val="0"/>
            <w:vAlign w:val="center"/>
          </w:tcPr>
          <w:p>
            <w:pPr>
              <w:keepNext w:val="0"/>
              <w:keepLines w:val="0"/>
              <w:suppressLineNumbers w:val="0"/>
              <w:overflowPunct w:val="0"/>
              <w:spacing w:before="0" w:beforeAutospacing="0" w:after="0" w:afterAutospacing="0"/>
              <w:ind w:left="0" w:right="0"/>
              <w:jc w:val="both"/>
              <w:rPr>
                <w:rFonts w:hint="default" w:ascii="宋体" w:hAnsi="宋体" w:eastAsia="宋体" w:cs="Times New Roman"/>
                <w:kern w:val="2"/>
                <w:sz w:val="21"/>
                <w:szCs w:val="21"/>
                <w:lang w:val="en-US" w:eastAsia="zh-CN" w:bidi="ar-SA"/>
              </w:rPr>
            </w:pP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石油与天然气井的井控操作与管理人员，应接受井控安全技术知识教育，并按本标准进行培训，根据本标准第3章井控培训合格证取证范围的人员范围取得井控培训合格证。</w:t>
            </w:r>
          </w:p>
        </w:tc>
        <w:tc>
          <w:tcPr>
            <w:tcW w:w="2552"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《石油与天然气井井控安全技术考核管理规则》（</w:t>
            </w:r>
            <w:r>
              <w:rPr>
                <w:rFonts w:hint="default" w:ascii="Times New Roman" w:hAnsi="Times New Roman" w:cs="Times New Roman"/>
                <w:kern w:val="0"/>
                <w:szCs w:val="21"/>
              </w:rPr>
              <w:t>SY/T 5742-2019</w:t>
            </w:r>
            <w:r>
              <w:rPr>
                <w:rFonts w:hint="eastAsia" w:ascii="Times New Roman" w:hAnsi="Times New Roman" w:cs="Times New Roman"/>
                <w:kern w:val="0"/>
                <w:szCs w:val="21"/>
              </w:rPr>
              <w:t>）</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szCs w:val="21"/>
              </w:rPr>
            </w:pPr>
            <w:r>
              <w:rPr>
                <w:rFonts w:hint="eastAsia" w:ascii="Times New Roman" w:hAnsi="Times New Roman" w:cs="Times New Roman"/>
                <w:kern w:val="0"/>
                <w:szCs w:val="21"/>
              </w:rPr>
              <w:t>3</w:t>
            </w:r>
            <w:r>
              <w:rPr>
                <w:rFonts w:hint="default" w:ascii="Times New Roman" w:hAnsi="Times New Roman" w:cs="Times New Roman"/>
                <w:kern w:val="0"/>
                <w:szCs w:val="21"/>
              </w:rPr>
              <w:t>.1</w:t>
            </w:r>
            <w:r>
              <w:rPr>
                <w:rFonts w:hint="eastAsia" w:ascii="Times New Roman" w:hAnsi="Times New Roman" w:cs="Times New Roman"/>
                <w:kern w:val="0"/>
                <w:szCs w:val="21"/>
              </w:rPr>
              <w:t>、3</w:t>
            </w:r>
            <w:r>
              <w:rPr>
                <w:rFonts w:hint="default" w:ascii="Times New Roman" w:hAnsi="Times New Roman" w:cs="Times New Roman"/>
                <w:kern w:val="0"/>
                <w:szCs w:val="21"/>
              </w:rPr>
              <w:t>.2</w:t>
            </w:r>
            <w:r>
              <w:rPr>
                <w:rFonts w:hint="eastAsia" w:ascii="Times New Roman" w:hAnsi="Times New Roman" w:cs="Times New Roman"/>
                <w:kern w:val="0"/>
                <w:szCs w:val="21"/>
              </w:rPr>
              <w:t>、3</w:t>
            </w:r>
            <w:r>
              <w:rPr>
                <w:rFonts w:hint="default" w:ascii="Times New Roman" w:hAnsi="Times New Roman" w:cs="Times New Roman"/>
                <w:kern w:val="0"/>
                <w:szCs w:val="21"/>
              </w:rPr>
              <w:t>.3</w:t>
            </w:r>
            <w:r>
              <w:rPr>
                <w:rFonts w:hint="eastAsia" w:ascii="Times New Roman" w:hAnsi="Times New Roman" w:cs="Times New Roman"/>
                <w:kern w:val="0"/>
                <w:szCs w:val="21"/>
              </w:rPr>
              <w:t>、4</w:t>
            </w:r>
            <w:r>
              <w:rPr>
                <w:rFonts w:hint="default" w:ascii="Times New Roman" w:hAnsi="Times New Roman" w:cs="Times New Roman"/>
                <w:kern w:val="0"/>
                <w:szCs w:val="21"/>
              </w:rPr>
              <w:t>.1.1</w:t>
            </w:r>
            <w:r>
              <w:rPr>
                <w:rFonts w:hint="eastAsia" w:ascii="Times New Roman" w:hAnsi="Times New Roman" w:cs="Times New Roman"/>
                <w:kern w:val="0"/>
                <w:szCs w:val="21"/>
              </w:rPr>
              <w:t>、8</w:t>
            </w:r>
            <w:r>
              <w:rPr>
                <w:rFonts w:hint="default" w:ascii="Times New Roman" w:hAnsi="Times New Roman" w:cs="Times New Roman"/>
                <w:kern w:val="0"/>
                <w:szCs w:val="21"/>
              </w:rPr>
              <w:t>.2</w:t>
            </w:r>
          </w:p>
        </w:tc>
        <w:tc>
          <w:tcPr>
            <w:tcW w:w="2019" w:type="dxa"/>
            <w:vMerge w:val="restart"/>
            <w:noWrap w:val="0"/>
            <w:vAlign w:val="center"/>
          </w:tcPr>
          <w:p>
            <w:pPr>
              <w:keepNext w:val="0"/>
              <w:keepLines w:val="0"/>
              <w:suppressLineNumbers w:val="0"/>
              <w:overflowPunct w:val="0"/>
              <w:spacing w:before="0" w:beforeAutospacing="0" w:after="0" w:afterAutospacing="0"/>
              <w:ind w:left="0" w:right="0"/>
              <w:jc w:val="both"/>
              <w:rPr>
                <w:rFonts w:hint="default" w:ascii="宋体" w:hAnsi="宋体" w:eastAsia="宋体" w:cs="Times New Roman"/>
                <w:kern w:val="2"/>
                <w:sz w:val="21"/>
                <w:szCs w:val="21"/>
                <w:lang w:val="en-US" w:eastAsia="zh-CN" w:bidi="ar-SA"/>
              </w:rPr>
            </w:pPr>
            <w:r>
              <w:rPr>
                <w:rFonts w:hint="eastAsia" w:ascii="宋体" w:hAnsi="宋体" w:cs="Times New Roman"/>
                <w:szCs w:val="21"/>
                <w:lang w:val="en-US" w:eastAsia="zh-CN"/>
              </w:rPr>
              <w:t>现场作业人员已取得井控培训合格证</w:t>
            </w:r>
            <w:r>
              <w:rPr>
                <w:rFonts w:hint="default" w:ascii="Times New Roman" w:hAnsi="Times New Roman" w:cs="Times New Roman"/>
                <w:szCs w:val="21"/>
                <w:lang w:val="en-US" w:eastAsia="zh-CN"/>
              </w:rPr>
              <w:t>，详见报告第2.7.3章节</w:t>
            </w:r>
            <w:r>
              <w:rPr>
                <w:rFonts w:hint="eastAsia" w:ascii="宋体" w:hAnsi="宋体" w:cs="Times New Roman"/>
                <w:szCs w:val="21"/>
                <w:lang w:val="en-US" w:eastAsia="zh-CN"/>
              </w:rPr>
              <w:t>。</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suppressLineNumbers w:val="0"/>
              <w:overflowPunct w:val="0"/>
              <w:spacing w:before="0" w:beforeAutospacing="0" w:after="0" w:afterAutospacing="0"/>
              <w:ind w:left="0" w:right="0"/>
              <w:rPr>
                <w:rFonts w:hint="eastAsia" w:ascii="Times New Roman" w:hAnsi="Times New Roman" w:cs="Times New Roman"/>
                <w:szCs w:val="21"/>
              </w:rPr>
            </w:pPr>
            <w:r>
              <w:rPr>
                <w:rFonts w:hint="eastAsia" w:ascii="Times New Roman" w:hAnsi="Times New Roman" w:cs="Times New Roman"/>
                <w:szCs w:val="21"/>
              </w:rPr>
              <w:t>取得井控培训合格证的人员方可从事井控管理或操作。</w:t>
            </w:r>
          </w:p>
        </w:tc>
        <w:tc>
          <w:tcPr>
            <w:tcW w:w="2552" w:type="dxa"/>
            <w:vMerge w:val="continue"/>
            <w:noWrap w:val="0"/>
            <w:vAlign w:val="center"/>
          </w:tcPr>
          <w:p>
            <w:pPr>
              <w:keepNext w:val="0"/>
              <w:keepLines w:val="0"/>
              <w:suppressLineNumbers w:val="0"/>
              <w:overflowPunct w:val="0"/>
              <w:spacing w:before="0" w:beforeAutospacing="0" w:after="0" w:afterAutospacing="0"/>
              <w:ind w:left="0" w:right="-79" w:rightChars="-38"/>
              <w:jc w:val="center"/>
              <w:rPr>
                <w:rFonts w:hint="eastAsia" w:ascii="Times New Roman" w:hAnsi="Times New Roman" w:cs="Times New Roman"/>
                <w:szCs w:val="21"/>
              </w:rPr>
            </w:pPr>
          </w:p>
        </w:tc>
        <w:tc>
          <w:tcPr>
            <w:tcW w:w="2019" w:type="dxa"/>
            <w:vMerge w:val="continue"/>
            <w:noWrap w:val="0"/>
            <w:vAlign w:val="center"/>
          </w:tcPr>
          <w:p>
            <w:pPr>
              <w:keepNext w:val="0"/>
              <w:keepLines w:val="0"/>
              <w:suppressLineNumbers w:val="0"/>
              <w:overflowPunct w:val="0"/>
              <w:spacing w:before="0" w:beforeAutospacing="0" w:after="0" w:afterAutospacing="0"/>
              <w:ind w:left="0" w:right="0"/>
              <w:jc w:val="center"/>
              <w:rPr>
                <w:rFonts w:hint="default" w:ascii="宋体" w:hAnsi="宋体" w:cs="Times New Roman"/>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六、安全教育培训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生产经营单位应当定期对从业人员进行安全生产教育和培训。从业人员未经安全生产教育和培训合格，不得上岗作业。</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第二十七条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企业制定年度培训计划，按照培训计划对员工进行安全教育培训。</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以劳务派遣形式用工的，用工单位应当将劳务派遣人员纳入本单位的从业人员进行统一安全管理，对其进行岗位安全操作规程和安全操作技能的教育和培训。</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第二十九条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eastAsia" w:ascii="宋体" w:hAnsi="宋体" w:eastAsia="宋体" w:cs="Times New Roman"/>
                <w:kern w:val="0"/>
                <w:szCs w:val="21"/>
                <w:lang w:val="en-US" w:eastAsia="zh-CN"/>
              </w:rPr>
            </w:pPr>
            <w:r>
              <w:rPr>
                <w:rFonts w:hint="eastAsia" w:ascii="宋体" w:hAnsi="宋体" w:cs="Times New Roman"/>
                <w:kern w:val="0"/>
                <w:szCs w:val="21"/>
                <w:lang w:val="en-US" w:eastAsia="zh-CN"/>
              </w:rPr>
              <w:t>将劳务派遣人员</w:t>
            </w:r>
            <w:r>
              <w:rPr>
                <w:rFonts w:hint="eastAsia" w:ascii="Times New Roman" w:hAnsi="Times New Roman" w:cs="Times New Roman"/>
                <w:kern w:val="0"/>
                <w:szCs w:val="21"/>
              </w:rPr>
              <w:t>纳入本单位的从业人员进行统一安全管理</w:t>
            </w:r>
            <w:r>
              <w:rPr>
                <w:rFonts w:hint="eastAsia" w:cs="Times New Roman"/>
                <w:kern w:val="0"/>
                <w:szCs w:val="21"/>
                <w:lang w:eastAsia="zh-CN"/>
              </w:rPr>
              <w:t>。</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煤矿、非煤矿山、危险化学品、烟花爆竹、金属冶炼等生产经营单位新上岗的从业人员安全培训时间不得少于72学时，每年再培训的时间不得少于20学时。</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《生产经营单位安全培训规定》</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highlight w:val="darkBlue"/>
              </w:rPr>
            </w:pPr>
            <w:r>
              <w:rPr>
                <w:rFonts w:hint="eastAsia" w:ascii="Times New Roman" w:hAnsi="Times New Roman" w:cs="Times New Roman"/>
                <w:kern w:val="0"/>
                <w:szCs w:val="21"/>
              </w:rPr>
              <w:t>第十三条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default" w:ascii="Times New Roman" w:hAnsi="Times New Roman" w:cs="Times New Roman"/>
                <w:color w:val="auto"/>
                <w:kern w:val="0"/>
                <w:szCs w:val="21"/>
                <w:lang w:val="en-US" w:eastAsia="zh-CN"/>
              </w:rPr>
              <w:t>该公司新员工</w:t>
            </w:r>
            <w:r>
              <w:rPr>
                <w:rFonts w:hint="eastAsia" w:cs="Times New Roman"/>
                <w:color w:val="auto"/>
                <w:kern w:val="0"/>
                <w:szCs w:val="21"/>
                <w:lang w:val="en-US" w:eastAsia="zh-CN"/>
              </w:rPr>
              <w:t>三级教育培训不少于72学时</w:t>
            </w:r>
            <w:r>
              <w:rPr>
                <w:rFonts w:hint="default" w:ascii="Times New Roman" w:hAnsi="Times New Roman" w:cs="Times New Roman"/>
                <w:color w:val="auto"/>
                <w:kern w:val="0"/>
                <w:szCs w:val="21"/>
                <w:lang w:val="en-US" w:eastAsia="zh-CN"/>
              </w:rPr>
              <w:t>，员工每年</w:t>
            </w:r>
            <w:r>
              <w:rPr>
                <w:rFonts w:hint="eastAsia" w:cs="Times New Roman"/>
                <w:color w:val="auto"/>
                <w:kern w:val="0"/>
                <w:szCs w:val="21"/>
                <w:lang w:val="en-US" w:eastAsia="zh-CN"/>
              </w:rPr>
              <w:t>再</w:t>
            </w:r>
            <w:r>
              <w:rPr>
                <w:rFonts w:hint="default" w:ascii="Times New Roman" w:hAnsi="Times New Roman" w:cs="Times New Roman"/>
                <w:color w:val="auto"/>
                <w:kern w:val="0"/>
                <w:szCs w:val="21"/>
                <w:lang w:val="en-US" w:eastAsia="zh-CN"/>
              </w:rPr>
              <w:t>培训时间不少于20学时。</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企业应当将安全培训工作纳入本单位年度工作计划，依据相关法律法规规定，由主要负责人负责组织制定。每年年底前，要结合企业自身实际，按照企业主要负责人、安全管理人员、特种作业人员、其他从业人员等分层次、分类别、分岗位制定下一年度的全员培训计划，并严格组织实施，确保安全培训的针对性、实效性。年度培训计划内容要包括培训时间、培训目的、参加人员、授课人、学时、培训内容等，由主要负责人签字存档备查。</w:t>
            </w:r>
          </w:p>
        </w:tc>
        <w:tc>
          <w:tcPr>
            <w:tcW w:w="2552"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《〈关于切实加强和改进企业安全生产培训及考核工作的意见〉实施方案》（鲁应急发〔2019〕64号）</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制定年度培训计划，内容包括培训时间、受培训部门、参加培训人员、培训方式、培训内容、学时、考核方式等内容。</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企业要如实记录安全培训的时间、内容、参加人员以及考核结果等情况，档案材料应当完整、准确、系统。</w:t>
            </w:r>
          </w:p>
        </w:tc>
        <w:tc>
          <w:tcPr>
            <w:tcW w:w="2552" w:type="dxa"/>
            <w:vMerge w:val="continue"/>
            <w:noWrap w:val="0"/>
            <w:vAlign w:val="top"/>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highlight w:val="darkBlue"/>
              </w:rPr>
            </w:pP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如实填写安全培训记录，建立培训档案资料。</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七、工伤保险及安全生产责任险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生产经营单位应当依法参加工伤保险，为从业人员缴纳工伤保险费。</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第二十四条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企业依法为从业人员缴纳工伤保险，劳务派遣人员以及何凤祥、耿淦、刘国渝、徐洪武、苏丙涛、王维等由所在单位缴纳工伤</w:t>
            </w:r>
            <w:r>
              <w:rPr>
                <w:rFonts w:hint="default" w:ascii="Times New Roman" w:hAnsi="Times New Roman" w:cs="Times New Roman"/>
                <w:kern w:val="0"/>
                <w:szCs w:val="21"/>
                <w:lang w:val="en-US" w:eastAsia="zh-CN"/>
              </w:rPr>
              <w:t>保险，详见第2.8章</w:t>
            </w:r>
            <w:r>
              <w:rPr>
                <w:rFonts w:hint="eastAsia" w:ascii="宋体" w:hAnsi="宋体" w:cs="Times New Roman"/>
                <w:kern w:val="0"/>
                <w:szCs w:val="21"/>
                <w:lang w:val="en-US" w:eastAsia="zh-CN"/>
              </w:rPr>
              <w:t>节。</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依法参加工伤保险，为从业人员缴纳保险费。</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《非煤矿矿山企业安全生产许可证实施办法》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第六条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矿山、交通运输、危险化学品、烟花爆竹、建筑施工、民用爆炸物品、金属冶炼、渔业生产等属于国家规定的高危行业、领域的生产经营单位，应当投保安全生产责任保险</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第二十四条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default" w:ascii="Times New Roman" w:hAnsi="Times New Roman" w:cs="Times New Roman"/>
                <w:kern w:val="0"/>
                <w:szCs w:val="21"/>
                <w:lang w:val="en-US" w:eastAsia="zh-CN"/>
              </w:rPr>
              <w:t>已为</w:t>
            </w:r>
            <w:r>
              <w:rPr>
                <w:rFonts w:hint="eastAsia" w:cs="Times New Roman"/>
                <w:kern w:val="0"/>
                <w:szCs w:val="21"/>
                <w:lang w:val="en-US" w:eastAsia="zh-CN"/>
              </w:rPr>
              <w:t>全员</w:t>
            </w:r>
            <w:r>
              <w:rPr>
                <w:rFonts w:hint="eastAsia" w:ascii="Times New Roman" w:hAnsi="Times New Roman" w:cs="Times New Roman"/>
                <w:kern w:val="0"/>
                <w:szCs w:val="21"/>
                <w:lang w:val="en-US" w:eastAsia="zh-CN"/>
              </w:rPr>
              <w:t>缴纳安全生产责任险，</w:t>
            </w:r>
            <w:r>
              <w:rPr>
                <w:rFonts w:hint="eastAsia" w:cs="Times New Roman"/>
                <w:kern w:val="0"/>
                <w:szCs w:val="21"/>
                <w:lang w:val="en-US" w:eastAsia="zh-CN"/>
              </w:rPr>
              <w:t>安全生产责任险</w:t>
            </w:r>
            <w:r>
              <w:rPr>
                <w:rFonts w:hint="eastAsia" w:ascii="Times New Roman" w:hAnsi="Times New Roman" w:cs="Times New Roman"/>
                <w:kern w:val="0"/>
                <w:szCs w:val="21"/>
                <w:lang w:val="en-US" w:eastAsia="zh-CN"/>
              </w:rPr>
              <w:t>有效期至202</w:t>
            </w:r>
            <w:r>
              <w:rPr>
                <w:rFonts w:hint="eastAsia" w:cs="Times New Roman"/>
                <w:kern w:val="0"/>
                <w:szCs w:val="21"/>
                <w:lang w:val="en-US" w:eastAsia="zh-CN"/>
              </w:rPr>
              <w:t>3</w:t>
            </w:r>
            <w:r>
              <w:rPr>
                <w:rFonts w:hint="eastAsia" w:ascii="Times New Roman" w:hAnsi="Times New Roman" w:cs="Times New Roman"/>
                <w:kern w:val="0"/>
                <w:szCs w:val="21"/>
                <w:lang w:val="en-US" w:eastAsia="zh-CN"/>
              </w:rPr>
              <w:t>年6月11日。</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kern w:val="0"/>
                <w:szCs w:val="21"/>
                <w:lang w:eastAsia="zh-CN"/>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煤矿、非煤矿山、危险化学品、烟花爆竹、交通运输、建筑施工、民用爆炸物品、金属冶炼、渔业生产等高危行业领域的生产经营单位应当投保安全生产责任保险。</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《安全生产责任保险实施办法》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第六条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生产经营单位投保安全生产责任保险的保障范围应当覆盖全体从业人员。</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《安全生产责任保险实施办法》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第十二条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八、劳动防护用品配备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生产经营单位应当明确本单位从业人员配备劳动防护用品的种类和型号，为从业人员无偿提供符合标准的劳动防护用品，督促、检查、教育从业人员正确佩戴和使用，不得以货币形式或者其他物品替代。购买和发放劳动防护用品的情况应当如实记录。</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《山东省安全生产条例》</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第二十五条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制定员工劳动防护用品配备标准，定时为员工发放劳动防护用品，建立劳动防护用品发放记录。</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制定防治职业危害的具体措施，并为从业人员配备符合国家标准或者行业标准的劳动防护用品。</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《非煤矿矿山企业安全生产许可证实施办法》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第六条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cs="Times New Roman"/>
                <w:kern w:val="0"/>
                <w:szCs w:val="21"/>
                <w:lang w:val="en-US" w:eastAsia="zh-CN"/>
              </w:rPr>
              <w:t>根据表A.1、表B.1钻井随钻测量工需配备安全帽、职业眼面部防护具、耳塞、工作服、防护手套、安全鞋，定期发放</w:t>
            </w:r>
            <w:r>
              <w:rPr>
                <w:rFonts w:hint="eastAsia" w:ascii="Times New Roman" w:hAnsi="Times New Roman" w:cs="Times New Roman"/>
                <w:kern w:val="0"/>
                <w:szCs w:val="21"/>
              </w:rPr>
              <w:t>。</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cs="Times New Roman"/>
                <w:kern w:val="0"/>
                <w:szCs w:val="21"/>
                <w:lang w:val="en-US" w:eastAsia="zh-CN"/>
              </w:rPr>
            </w:pPr>
            <w:r>
              <w:rPr>
                <w:rFonts w:hint="eastAsia" w:cs="Times New Roman"/>
                <w:kern w:val="0"/>
                <w:szCs w:val="21"/>
                <w:lang w:val="en-US" w:eastAsia="zh-CN"/>
              </w:rPr>
              <w:t>GB39800.2-2020</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lang w:val="en-US"/>
              </w:rPr>
            </w:pPr>
            <w:r>
              <w:rPr>
                <w:rFonts w:hint="eastAsia" w:cs="Times New Roman"/>
                <w:kern w:val="0"/>
                <w:szCs w:val="21"/>
                <w:lang w:val="en-US" w:eastAsia="zh-CN"/>
              </w:rPr>
              <w:t>附录A附录B</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按照标准定期为员工发放工衣、工鞋、安全帽、防砸手套、安全防护眼镜、工程包，种类缺少耳塞。</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kern w:val="0"/>
                <w:szCs w:val="21"/>
                <w:lang w:val="en-US" w:eastAsia="zh-CN"/>
              </w:rPr>
            </w:pPr>
            <w:r>
              <w:rPr>
                <w:rFonts w:hint="eastAsia" w:cs="Times New Roman"/>
                <w:kern w:val="0"/>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九、设备、设施检测检验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正压式空气呼吸器应每年检验一次；气瓶应每三年检验一次，其安全使用年限不得超过1</w:t>
            </w:r>
            <w:r>
              <w:rPr>
                <w:rFonts w:hint="default" w:ascii="Times New Roman" w:hAnsi="Times New Roman" w:cs="Times New Roman"/>
                <w:kern w:val="0"/>
                <w:szCs w:val="21"/>
              </w:rPr>
              <w:t>5</w:t>
            </w:r>
            <w:r>
              <w:rPr>
                <w:rFonts w:hint="eastAsia" w:ascii="Times New Roman" w:hAnsi="Times New Roman" w:cs="Times New Roman"/>
                <w:kern w:val="0"/>
                <w:szCs w:val="21"/>
              </w:rPr>
              <w:t>年。</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《硫化氢环境人身防护规范》（SYT 6277-2017）</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5</w:t>
            </w:r>
            <w:r>
              <w:rPr>
                <w:rFonts w:hint="default" w:ascii="Times New Roman" w:hAnsi="Times New Roman" w:cs="Times New Roman"/>
                <w:kern w:val="0"/>
                <w:szCs w:val="21"/>
              </w:rPr>
              <w:t>.1.6.1</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正压式空气呼吸器与气瓶定期检测，检测信息</w:t>
            </w:r>
            <w:r>
              <w:rPr>
                <w:rFonts w:hint="default" w:ascii="Times New Roman" w:hAnsi="Times New Roman" w:cs="Times New Roman"/>
                <w:kern w:val="0"/>
                <w:szCs w:val="21"/>
                <w:lang w:val="en-US" w:eastAsia="zh-CN"/>
              </w:rPr>
              <w:t>详见报告第2.10章节。</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便携式硫化氢检测仪每年至少检验一次。</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《硫化氢环境人身防护规范》（SYT 6277-2017）</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default" w:ascii="Times New Roman" w:hAnsi="Times New Roman" w:cs="Times New Roman"/>
                <w:kern w:val="0"/>
                <w:szCs w:val="21"/>
              </w:rPr>
              <w:t>5.2.6</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便携式硫化氢报警仪定期检测，均在有效期内，检测信息</w:t>
            </w:r>
            <w:r>
              <w:rPr>
                <w:rFonts w:hint="default" w:ascii="Times New Roman" w:hAnsi="Times New Roman" w:cs="Times New Roman"/>
                <w:kern w:val="0"/>
                <w:szCs w:val="21"/>
                <w:lang w:val="en-US" w:eastAsia="zh-CN"/>
              </w:rPr>
              <w:t>详见报告第2.10章节</w:t>
            </w:r>
            <w:r>
              <w:rPr>
                <w:rFonts w:hint="eastAsia" w:ascii="宋体" w:hAnsi="宋体" w:cs="Times New Roman"/>
                <w:kern w:val="0"/>
                <w:szCs w:val="21"/>
                <w:lang w:val="en-US" w:eastAsia="zh-CN"/>
              </w:rPr>
              <w:t>。</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十、安全投入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安全生产费用提取比例按照营业收入2</w:t>
            </w:r>
            <w:r>
              <w:rPr>
                <w:rFonts w:hint="default" w:ascii="Times New Roman" w:hAnsi="Times New Roman" w:cs="Times New Roman"/>
                <w:kern w:val="0"/>
                <w:szCs w:val="21"/>
              </w:rPr>
              <w:t>.5</w:t>
            </w:r>
            <w:r>
              <w:rPr>
                <w:rFonts w:hint="eastAsia" w:ascii="Times New Roman" w:hAnsi="Times New Roman" w:cs="Times New Roman"/>
                <w:kern w:val="0"/>
                <w:szCs w:val="21"/>
              </w:rPr>
              <w:t>%的比例提取。</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《企业安全生产费用提取和使用管理办法》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第七条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企</w:t>
            </w:r>
            <w:r>
              <w:rPr>
                <w:rFonts w:hint="default" w:ascii="Times New Roman" w:hAnsi="Times New Roman" w:cs="Times New Roman"/>
                <w:kern w:val="0"/>
                <w:szCs w:val="21"/>
                <w:lang w:val="en-US" w:eastAsia="zh-CN"/>
              </w:rPr>
              <w:t>业安全生产费用提取比例不小于</w:t>
            </w:r>
            <w:r>
              <w:rPr>
                <w:rFonts w:hint="eastAsia" w:ascii="Times New Roman" w:hAnsi="Times New Roman" w:cs="Times New Roman"/>
                <w:kern w:val="0"/>
                <w:szCs w:val="21"/>
                <w:lang w:val="en-US" w:eastAsia="zh-CN"/>
              </w:rPr>
              <w:t>工程费用的</w:t>
            </w:r>
            <w:r>
              <w:rPr>
                <w:rFonts w:hint="default" w:ascii="Times New Roman" w:hAnsi="Times New Roman" w:cs="Times New Roman"/>
                <w:kern w:val="0"/>
                <w:szCs w:val="21"/>
                <w:lang w:val="en-US" w:eastAsia="zh-CN"/>
              </w:rPr>
              <w:t>2.5%。</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生产经营单位应当确保本单位具备安全生产条件所必需的资金投入，安全生产资金投入纳入年度生产经营计划和财务预算，不得挪作他用，并专项用于下列安全生产事项</w:t>
            </w:r>
            <w:r>
              <w:rPr>
                <w:rFonts w:hint="eastAsia" w:cs="Times New Roman"/>
                <w:kern w:val="0"/>
                <w:szCs w:val="21"/>
                <w:lang w:eastAsia="zh-CN"/>
              </w:rPr>
              <w:t>：</w:t>
            </w:r>
            <w:r>
              <w:rPr>
                <w:rFonts w:hint="eastAsia" w:ascii="Times New Roman" w:hAnsi="Times New Roman" w:cs="Times New Roman"/>
                <w:kern w:val="0"/>
                <w:szCs w:val="21"/>
              </w:rPr>
              <w:t>（一）完善、改造和维护安全防护及监督管理设施设备支出；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（二）配备、维护、保养应急救援器材、设备和物资支出，制定应急预案和组织应急演练支出；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（三）开展重大危险源和事故隐患评估、监控和整改支出；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（四）安全生产评估检查、专家咨询和标准化建设支出；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（五）配备和更新现场作业人员安全防护用品支出；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（六）安全生产宣传、教育、培训支出；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（七）安全生产适用的新技术、新标准、新工艺、新装备的推广应用支出；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（八）安全设施及特种设备检测检验支出；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（九）参加安全生产责任保险支出；</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（十）其他与安全生产直接相关的支出。</w:t>
            </w:r>
          </w:p>
        </w:tc>
        <w:tc>
          <w:tcPr>
            <w:tcW w:w="2552"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《山东省生产经营单位安全生产主体责任规定》</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 xml:space="preserve">第十七条 </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建立安全费用统计台账，保证安全生产资金的投入。</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eastAsia="宋体"/>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8522" w:type="dxa"/>
            <w:gridSpan w:val="5"/>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bCs/>
                <w:kern w:val="0"/>
                <w:szCs w:val="21"/>
              </w:rPr>
            </w:pPr>
            <w:r>
              <w:rPr>
                <w:rFonts w:hint="eastAsia" w:ascii="Times New Roman" w:hAnsi="Times New Roman" w:cs="Times New Roman"/>
                <w:b/>
                <w:bCs/>
                <w:kern w:val="0"/>
                <w:szCs w:val="21"/>
              </w:rPr>
              <w:t>十一、应急管理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生产经营单位应当根据有关法律、法规、规章和相关标准，结合本单位组织管理体系、生产规模和可能发生的事故特点，与相关预案保持衔接，确立本单位的应急预案体系，编制相应的应急预案，并体现自救互救和先期处置等特点。</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《生产安全事故应急预案管理办法》</w:t>
            </w:r>
          </w:p>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第十二条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结合本单位的生产特点，编制相应的应急预案。</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5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cs="Times New Roman"/>
                <w:kern w:val="0"/>
                <w:szCs w:val="21"/>
              </w:rPr>
              <w:t>生产经营单位的应急预案体系主要由综合应急预案、专项应急预案和现场处置方案构成。生产经营单位应根据法律、法规和相关标准，结合本单位组织管理体系、生产规模、和可能发生的事故特点，科学合理建立本单位的应急预案体系，并注意与其他类别应急预案相衔接。</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《生产经营单位生产安全事故应急预案编制导则》（G</w:t>
            </w:r>
            <w:r>
              <w:rPr>
                <w:rFonts w:hint="default" w:ascii="Times New Roman" w:hAnsi="Times New Roman" w:cs="Times New Roman"/>
                <w:kern w:val="0"/>
                <w:szCs w:val="21"/>
              </w:rPr>
              <w:t>B</w:t>
            </w:r>
            <w:r>
              <w:rPr>
                <w:rFonts w:hint="eastAsia" w:ascii="Times New Roman" w:hAnsi="Times New Roman" w:cs="Times New Roman"/>
                <w:kern w:val="0"/>
                <w:szCs w:val="21"/>
              </w:rPr>
              <w:t>/</w:t>
            </w:r>
            <w:r>
              <w:rPr>
                <w:rFonts w:hint="default" w:ascii="Times New Roman" w:hAnsi="Times New Roman" w:cs="Times New Roman"/>
                <w:kern w:val="0"/>
                <w:szCs w:val="21"/>
              </w:rPr>
              <w:t>T29639-2020</w:t>
            </w:r>
            <w:r>
              <w:rPr>
                <w:rFonts w:hint="eastAsia" w:ascii="Times New Roman" w:hAnsi="Times New Roman" w:cs="Times New Roman"/>
                <w:kern w:val="0"/>
                <w:szCs w:val="21"/>
              </w:rPr>
              <w:t>）</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5</w:t>
            </w:r>
            <w:r>
              <w:rPr>
                <w:rFonts w:hint="default" w:ascii="Times New Roman" w:hAnsi="Times New Roman" w:cs="Times New Roman"/>
                <w:kern w:val="0"/>
                <w:szCs w:val="21"/>
              </w:rPr>
              <w:t>.1</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eastAsia" w:ascii="宋体" w:hAnsi="宋体" w:eastAsia="宋体" w:cs="Times New Roman"/>
                <w:kern w:val="0"/>
                <w:szCs w:val="21"/>
                <w:lang w:val="en-US" w:eastAsia="zh-CN"/>
              </w:rPr>
            </w:pPr>
            <w:r>
              <w:rPr>
                <w:rFonts w:hint="eastAsia" w:ascii="宋体" w:hAnsi="宋体" w:cs="Times New Roman"/>
                <w:kern w:val="0"/>
                <w:szCs w:val="21"/>
                <w:lang w:val="en-US" w:eastAsia="zh-CN"/>
              </w:rPr>
              <w:t>预案体系包括</w:t>
            </w:r>
            <w:r>
              <w:rPr>
                <w:rFonts w:hint="eastAsia" w:ascii="Times New Roman" w:hAnsi="Times New Roman" w:cs="Times New Roman"/>
                <w:kern w:val="0"/>
                <w:szCs w:val="21"/>
              </w:rPr>
              <w:t>综合应急预案、专项应急预案和现场处置方案</w:t>
            </w:r>
            <w:r>
              <w:rPr>
                <w:rFonts w:hint="eastAsia" w:cs="Times New Roman"/>
                <w:kern w:val="0"/>
                <w:szCs w:val="21"/>
                <w:lang w:eastAsia="zh-CN"/>
              </w:rPr>
              <w:t>，</w:t>
            </w:r>
            <w:r>
              <w:rPr>
                <w:rFonts w:hint="eastAsia" w:cs="Times New Roman"/>
                <w:kern w:val="0"/>
                <w:szCs w:val="21"/>
                <w:lang w:val="en-US" w:eastAsia="zh-CN"/>
              </w:rPr>
              <w:t>并与东营经济技术开发区非煤矿山生产安全事故灾难应急预案、甲方和作业地政府生产安全事故应急预案相衔接</w:t>
            </w:r>
            <w:r>
              <w:rPr>
                <w:rFonts w:hint="eastAsia" w:cs="Times New Roman"/>
                <w:kern w:val="0"/>
                <w:szCs w:val="21"/>
                <w:lang w:eastAsia="zh-CN"/>
              </w:rPr>
              <w:t>。</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矿山、金属冶炼企业和易燃易爆物品、危险化学品的生产、经营（带储存设施的，下同）、储存、运输企业，以及使用危险化学品达到国家规定数量的化工企业、烟花爆竹生产、批发经营企业和中型规模以上的其他生产经营单位，应当对本单位编制的应急预案进行评审，并形成书面评审纪要。</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《生产安全事故应急预案管理办法》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第十二条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eastAsia" w:ascii="宋体" w:hAnsi="宋体" w:eastAsia="宋体" w:cs="Times New Roman"/>
                <w:kern w:val="0"/>
                <w:szCs w:val="21"/>
                <w:lang w:val="en-US" w:eastAsia="zh-CN"/>
              </w:rPr>
            </w:pPr>
            <w:r>
              <w:rPr>
                <w:rFonts w:hint="eastAsia" w:ascii="宋体" w:hAnsi="宋体" w:cs="Times New Roman"/>
                <w:kern w:val="0"/>
                <w:szCs w:val="21"/>
                <w:lang w:val="en-US" w:eastAsia="zh-CN"/>
              </w:rPr>
              <w:t>公司应急救援预案已进行评审，形成</w:t>
            </w:r>
            <w:r>
              <w:rPr>
                <w:rFonts w:hint="eastAsia" w:ascii="Times New Roman" w:hAnsi="Times New Roman" w:cs="Times New Roman"/>
                <w:kern w:val="0"/>
                <w:szCs w:val="21"/>
              </w:rPr>
              <w:t>书面评审纪要</w:t>
            </w:r>
            <w:r>
              <w:rPr>
                <w:rFonts w:hint="eastAsia" w:cs="Times New Roman"/>
                <w:kern w:val="0"/>
                <w:szCs w:val="21"/>
                <w:lang w:eastAsia="zh-CN"/>
              </w:rPr>
              <w:t>。</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63"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易燃易爆物品、危险化学品等危险物品的生产、经营、储存、运输单位，矿山、金属冶炼、城市轨道交通运营、建筑施工单位，以及宾馆、商场、娱乐场所、旅游景区等人员密集场所经营单位，应当在应急预案公布之日起20个工作日内，按照分级属地原则，向县级以上人民政府应急管理部门和其他负有安全生产监督管理职责的部门进行备案，并依法向社会公布。</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《生产安全事故应急预案管理办法》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第二十六条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已到</w:t>
            </w:r>
            <w:r>
              <w:rPr>
                <w:rFonts w:hint="default" w:ascii="Times New Roman" w:hAnsi="Times New Roman" w:cs="Times New Roman"/>
                <w:kern w:val="0"/>
                <w:szCs w:val="21"/>
                <w:lang w:val="en-US" w:eastAsia="zh-CN"/>
              </w:rPr>
              <w:t>东营经济技术开发区应急管理部备案，备案编号370504-2022-0008。</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高危和人员密集单位应当每半年至少组织1次综合或者专项应急预案演练，每2年对所有专项应急预案至少组织1次演练，每半年对所有现场处置方案至少组织1次演练。</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《山东省生产安全事故应急办法》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第十三条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演练</w:t>
            </w:r>
            <w:r>
              <w:rPr>
                <w:rFonts w:hint="default" w:ascii="Times New Roman" w:hAnsi="Times New Roman" w:cs="Times New Roman"/>
                <w:kern w:val="0"/>
                <w:szCs w:val="21"/>
                <w:lang w:val="en-US" w:eastAsia="zh-CN"/>
              </w:rPr>
              <w:t>频次符合要求，详见报告第2.11.3章节。</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应急预案演练结束后，应急预案演练组织单位应当对应急预案演练效果进行评估，撰写应急预案演练评估报告，分析存在的问题，并对应急预案提出修订意见。</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《生产安全事故应急预案管理办法》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第三十四条</w:t>
            </w:r>
          </w:p>
        </w:tc>
        <w:tc>
          <w:tcPr>
            <w:tcW w:w="2019" w:type="dxa"/>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应急预案演练完成后及时对应急预案演练效果进行评估，分析存在问题。</w:t>
            </w:r>
          </w:p>
        </w:tc>
        <w:tc>
          <w:tcPr>
            <w:tcW w:w="725"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restart"/>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生产经营单位应当建立应急救援组织，配备相应的应急救援器材及装备。不具备单独建立专业应急救援队伍的规模较小的生产经营单位，应当与邻近建有专业救援队伍的企业或者单位签订救援协议，或者联合建立专业应急救援队伍。</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eastAsia" w:ascii="Times New Roman" w:hAnsi="Times New Roman" w:cs="Times New Roman"/>
                <w:kern w:val="0"/>
                <w:szCs w:val="21"/>
              </w:rPr>
              <w:t>《山东省生产经营单位安全生产主体责任规定》</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第二十三条</w:t>
            </w:r>
          </w:p>
        </w:tc>
        <w:tc>
          <w:tcPr>
            <w:tcW w:w="2019" w:type="dxa"/>
            <w:vMerge w:val="restart"/>
            <w:noWrap w:val="0"/>
            <w:vAlign w:val="center"/>
          </w:tcPr>
          <w:p>
            <w:pPr>
              <w:keepNext w:val="0"/>
              <w:keepLines w:val="0"/>
              <w:widowControl/>
              <w:suppressLineNumbers w:val="0"/>
              <w:overflowPunct w:val="0"/>
              <w:spacing w:before="0" w:beforeAutospacing="0" w:after="0" w:afterAutospacing="0"/>
              <w:ind w:left="0" w:right="0"/>
              <w:jc w:val="both"/>
              <w:rPr>
                <w:rFonts w:hint="default" w:ascii="宋体" w:hAnsi="宋体" w:eastAsia="宋体" w:cs="Times New Roman"/>
                <w:kern w:val="0"/>
                <w:szCs w:val="21"/>
                <w:lang w:val="en-US" w:eastAsia="zh-CN"/>
              </w:rPr>
            </w:pPr>
            <w:r>
              <w:rPr>
                <w:rFonts w:hint="eastAsia" w:ascii="宋体" w:hAnsi="宋体" w:cs="Times New Roman"/>
                <w:kern w:val="0"/>
                <w:szCs w:val="21"/>
                <w:lang w:val="en-US" w:eastAsia="zh-CN"/>
              </w:rPr>
              <w:t>该公司成立有应急救援组织机构，包括应急救援指挥部、指挥部办公室以及应急救援小组；在企业开展随钻测量作业时与甲方签订HSE合同/协议，合同/协议中规定了双方应急救援内容。</w:t>
            </w:r>
          </w:p>
        </w:tc>
        <w:tc>
          <w:tcPr>
            <w:tcW w:w="725" w:type="dxa"/>
            <w:vMerge w:val="restart"/>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Arial" w:hAnsi="Arial" w:cs="Arial"/>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427" w:type="dxa"/>
            <w:vMerge w:val="continue"/>
            <w:noWrap w:val="0"/>
            <w:vAlign w:val="center"/>
          </w:tcPr>
          <w:p>
            <w:pPr>
              <w:keepNext w:val="0"/>
              <w:keepLines w:val="0"/>
              <w:widowControl/>
              <w:numPr>
                <w:ilvl w:val="0"/>
                <w:numId w:val="19"/>
              </w:numPr>
              <w:suppressLineNumbers w:val="0"/>
              <w:overflowPunct w:val="0"/>
              <w:spacing w:before="0" w:beforeAutospacing="0" w:after="0" w:afterAutospacing="0"/>
              <w:ind w:right="0"/>
              <w:jc w:val="center"/>
              <w:rPr>
                <w:rFonts w:hint="default" w:ascii="Times New Roman" w:hAnsi="Times New Roman" w:cs="Times New Roman"/>
                <w:kern w:val="0"/>
                <w:szCs w:val="21"/>
              </w:rPr>
            </w:pPr>
          </w:p>
        </w:tc>
        <w:tc>
          <w:tcPr>
            <w:tcW w:w="2799" w:type="dxa"/>
            <w:noWrap w:val="0"/>
            <w:vAlign w:val="center"/>
          </w:tcPr>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rPr>
            </w:pPr>
            <w:r>
              <w:rPr>
                <w:rFonts w:hint="eastAsia" w:ascii="Times New Roman" w:hAnsi="Times New Roman" w:cs="Times New Roman"/>
                <w:kern w:val="0"/>
                <w:szCs w:val="21"/>
              </w:rPr>
              <w:t>建立事故应急救援组织，配备必要的应急救援器材、设备；生产规模较小可以不建立事故应急救援组织的，应当指定兼职的应急救援人员，并与邻近的矿山救护队或者其他应急救援组织签订救护协议。</w:t>
            </w:r>
          </w:p>
        </w:tc>
        <w:tc>
          <w:tcPr>
            <w:tcW w:w="2552" w:type="dxa"/>
            <w:noWrap w:val="0"/>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《非煤矿矿山企业安全生产许可证实施办法》</w:t>
            </w:r>
          </w:p>
          <w:p>
            <w:pPr>
              <w:keepNext w:val="0"/>
              <w:keepLines w:val="0"/>
              <w:widowControl/>
              <w:suppressLineNumbers w:val="0"/>
              <w:overflowPunct w:val="0"/>
              <w:spacing w:before="0" w:beforeAutospacing="0" w:after="0" w:afterAutospacing="0"/>
              <w:ind w:left="0" w:right="0"/>
              <w:jc w:val="center"/>
              <w:rPr>
                <w:rFonts w:hint="eastAsia" w:ascii="Times New Roman" w:hAnsi="Times New Roman" w:cs="Times New Roman"/>
                <w:kern w:val="0"/>
                <w:szCs w:val="21"/>
              </w:rPr>
            </w:pPr>
            <w:r>
              <w:rPr>
                <w:rFonts w:hint="eastAsia" w:ascii="Times New Roman" w:hAnsi="Times New Roman" w:cs="Times New Roman"/>
                <w:kern w:val="0"/>
                <w:szCs w:val="21"/>
              </w:rPr>
              <w:t>第六条</w:t>
            </w:r>
          </w:p>
        </w:tc>
        <w:tc>
          <w:tcPr>
            <w:tcW w:w="2019" w:type="dxa"/>
            <w:vMerge w:val="continue"/>
            <w:noWrap w:val="0"/>
            <w:vAlign w:val="center"/>
          </w:tcPr>
          <w:p>
            <w:pPr>
              <w:keepNext w:val="0"/>
              <w:keepLines w:val="0"/>
              <w:widowControl/>
              <w:suppressLineNumbers w:val="0"/>
              <w:overflowPunct w:val="0"/>
              <w:spacing w:before="0" w:beforeAutospacing="0" w:after="0" w:afterAutospacing="0"/>
              <w:ind w:left="0" w:right="0"/>
              <w:jc w:val="center"/>
              <w:rPr>
                <w:rFonts w:hint="default" w:ascii="宋体" w:hAnsi="宋体" w:cs="Times New Roman"/>
                <w:kern w:val="0"/>
                <w:szCs w:val="21"/>
              </w:rPr>
            </w:pPr>
          </w:p>
        </w:tc>
        <w:tc>
          <w:tcPr>
            <w:tcW w:w="725" w:type="dxa"/>
            <w:vMerge w:val="continue"/>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cs="Times New Roman"/>
                <w:kern w:val="0"/>
                <w:szCs w:val="21"/>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eastAsia="宋体"/>
          <w:sz w:val="28"/>
          <w:lang w:eastAsia="zh-CN"/>
        </w:rPr>
      </w:pPr>
      <w:r>
        <w:rPr>
          <w:rFonts w:hint="eastAsia"/>
          <w:sz w:val="28"/>
        </w:rPr>
        <w:t>评价小结</w:t>
      </w:r>
      <w:r>
        <w:rPr>
          <w:rFonts w:hint="eastAsia"/>
          <w:sz w:val="28"/>
          <w:lang w:eastAsia="zh-CN"/>
        </w:rPr>
        <w:t>：</w:t>
      </w:r>
    </w:p>
    <w:p>
      <w:pPr>
        <w:adjustRightInd w:val="0"/>
        <w:snapToGrid w:val="0"/>
        <w:spacing w:line="360" w:lineRule="auto"/>
        <w:ind w:firstLine="560" w:firstLineChars="200"/>
        <w:rPr>
          <w:rFonts w:hint="eastAsia" w:eastAsia="宋体"/>
          <w:sz w:val="28"/>
          <w:szCs w:val="28"/>
          <w:lang w:eastAsia="zh-CN"/>
        </w:rPr>
      </w:pPr>
      <w:r>
        <w:rPr>
          <w:rFonts w:hint="eastAsia"/>
          <w:sz w:val="28"/>
        </w:rPr>
        <w:t>安全检查表共列出</w:t>
      </w:r>
      <w:r>
        <w:rPr>
          <w:rFonts w:hint="eastAsia"/>
          <w:sz w:val="28"/>
          <w:lang w:val="en-US" w:eastAsia="zh-CN"/>
        </w:rPr>
        <w:t>37</w:t>
      </w:r>
      <w:r>
        <w:rPr>
          <w:rFonts w:hint="eastAsia"/>
          <w:sz w:val="28"/>
        </w:rPr>
        <w:t>项检查内容，</w:t>
      </w:r>
      <w:r>
        <w:rPr>
          <w:rFonts w:hint="eastAsia"/>
          <w:sz w:val="28"/>
          <w:lang w:val="en-US" w:eastAsia="zh-CN"/>
        </w:rPr>
        <w:t>主要为3方面</w:t>
      </w:r>
      <w:r>
        <w:rPr>
          <w:rFonts w:hint="eastAsia"/>
          <w:sz w:val="28"/>
          <w:szCs w:val="28"/>
        </w:rPr>
        <w:t>不符合</w:t>
      </w:r>
      <w:r>
        <w:rPr>
          <w:rFonts w:hint="eastAsia"/>
          <w:sz w:val="28"/>
          <w:szCs w:val="28"/>
          <w:lang w:eastAsia="zh-CN"/>
        </w:rPr>
        <w:t>：</w:t>
      </w:r>
    </w:p>
    <w:p>
      <w:pPr>
        <w:numPr>
          <w:ilvl w:val="0"/>
          <w:numId w:val="20"/>
        </w:numPr>
        <w:adjustRightInd w:val="0"/>
        <w:snapToGrid w:val="0"/>
        <w:spacing w:line="360" w:lineRule="auto"/>
        <w:ind w:firstLine="560" w:firstLineChars="200"/>
        <w:rPr>
          <w:rFonts w:hint="eastAsia"/>
          <w:sz w:val="28"/>
          <w:szCs w:val="28"/>
          <w:lang w:val="en-US" w:eastAsia="zh-CN"/>
        </w:rPr>
      </w:pPr>
      <w:r>
        <w:rPr>
          <w:rFonts w:hint="eastAsia"/>
          <w:sz w:val="28"/>
          <w:szCs w:val="28"/>
          <w:lang w:val="en-US" w:eastAsia="zh-CN"/>
        </w:rPr>
        <w:t>未配备注册安全工程师从事安全管理工作；</w:t>
      </w:r>
    </w:p>
    <w:p>
      <w:pPr>
        <w:numPr>
          <w:ilvl w:val="0"/>
          <w:numId w:val="20"/>
        </w:numPr>
        <w:adjustRightInd w:val="0"/>
        <w:snapToGrid w:val="0"/>
        <w:spacing w:line="360" w:lineRule="auto"/>
        <w:ind w:firstLine="560" w:firstLineChars="200"/>
        <w:rPr>
          <w:rFonts w:hint="eastAsia"/>
          <w:sz w:val="28"/>
          <w:szCs w:val="28"/>
          <w:lang w:val="en-US" w:eastAsia="zh-CN"/>
        </w:rPr>
      </w:pPr>
      <w:r>
        <w:rPr>
          <w:rFonts w:hint="eastAsia"/>
          <w:sz w:val="28"/>
          <w:szCs w:val="28"/>
          <w:lang w:val="en-US" w:eastAsia="zh-CN"/>
        </w:rPr>
        <w:t>未配备安全总监；</w:t>
      </w:r>
    </w:p>
    <w:p>
      <w:pPr>
        <w:numPr>
          <w:ilvl w:val="0"/>
          <w:numId w:val="20"/>
        </w:numPr>
        <w:adjustRightInd w:val="0"/>
        <w:snapToGrid w:val="0"/>
        <w:spacing w:line="360" w:lineRule="auto"/>
        <w:ind w:firstLine="560" w:firstLineChars="200"/>
        <w:rPr>
          <w:rFonts w:hint="default" w:eastAsia="宋体"/>
          <w:sz w:val="28"/>
          <w:szCs w:val="28"/>
          <w:lang w:val="en-US" w:eastAsia="zh-CN"/>
        </w:rPr>
      </w:pPr>
      <w:r>
        <w:rPr>
          <w:rFonts w:hint="eastAsia"/>
          <w:sz w:val="28"/>
          <w:szCs w:val="28"/>
          <w:lang w:val="en-US" w:eastAsia="zh-CN"/>
        </w:rPr>
        <w:t>劳动防护用品配备标准种类缺少耳塞。</w:t>
      </w:r>
    </w:p>
    <w:p>
      <w:pPr>
        <w:pStyle w:val="4"/>
        <w:adjustRightInd w:val="0"/>
        <w:snapToGrid w:val="0"/>
        <w:spacing w:before="0" w:after="0" w:line="360" w:lineRule="auto"/>
        <w:rPr>
          <w:rFonts w:hint="default" w:ascii="Times New Roman" w:hAnsi="Times New Roman" w:eastAsia="黑体"/>
          <w:sz w:val="28"/>
          <w:szCs w:val="28"/>
          <w:lang w:val="en-US" w:eastAsia="zh-CN"/>
        </w:rPr>
      </w:pPr>
      <w:bookmarkStart w:id="124" w:name="_Toc29819"/>
      <w:r>
        <w:rPr>
          <w:rFonts w:hint="eastAsia" w:ascii="Times New Roman" w:hAnsi="Times New Roman"/>
          <w:b w:val="0"/>
          <w:bCs/>
          <w:szCs w:val="32"/>
        </w:rPr>
        <w:t>5.</w:t>
      </w:r>
      <w:r>
        <w:rPr>
          <w:rFonts w:hint="eastAsia" w:ascii="Times New Roman" w:hAnsi="Times New Roman"/>
          <w:b w:val="0"/>
          <w:bCs/>
          <w:szCs w:val="32"/>
          <w:lang w:val="en-US" w:eastAsia="zh-CN"/>
        </w:rPr>
        <w:t>3</w:t>
      </w:r>
      <w:r>
        <w:rPr>
          <w:rFonts w:hint="eastAsia" w:ascii="Times New Roman" w:hAnsi="Times New Roman"/>
          <w:b w:val="0"/>
          <w:bCs/>
          <w:szCs w:val="32"/>
        </w:rPr>
        <w:t xml:space="preserve"> </w:t>
      </w:r>
      <w:r>
        <w:rPr>
          <w:rFonts w:ascii="Times New Roman" w:hAnsi="Times New Roman"/>
          <w:b w:val="0"/>
          <w:bCs/>
          <w:szCs w:val="32"/>
        </w:rPr>
        <w:t xml:space="preserve"> </w:t>
      </w:r>
      <w:r>
        <w:rPr>
          <w:rFonts w:hint="eastAsia" w:ascii="Times New Roman" w:hAnsi="Times New Roman"/>
          <w:b w:val="0"/>
          <w:bCs/>
          <w:szCs w:val="32"/>
          <w:lang w:val="en-US" w:eastAsia="zh-CN"/>
        </w:rPr>
        <w:t>预先危险性分析</w:t>
      </w:r>
      <w:bookmarkEnd w:id="124"/>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sz w:val="28"/>
        </w:rPr>
      </w:pPr>
      <w:r>
        <w:rPr>
          <w:rFonts w:hint="eastAsia"/>
          <w:sz w:val="28"/>
          <w:lang w:val="en-US" w:eastAsia="zh-CN"/>
        </w:rPr>
        <w:t>对该项目定向施工过程中存在的主要危险有害因素采用预先危险性分析法进行分析评价如下：</w:t>
      </w:r>
    </w:p>
    <w:p>
      <w:pPr>
        <w:adjustRightInd w:val="0"/>
        <w:snapToGrid w:val="0"/>
        <w:spacing w:line="360" w:lineRule="auto"/>
        <w:jc w:val="center"/>
        <w:rPr>
          <w:rFonts w:hint="default" w:eastAsia="宋体"/>
          <w:b/>
          <w:bCs w:val="0"/>
          <w:sz w:val="24"/>
          <w:lang w:val="en-US" w:eastAsia="zh-CN"/>
        </w:rPr>
      </w:pPr>
      <w:r>
        <w:rPr>
          <w:rFonts w:hint="eastAsia"/>
          <w:b/>
          <w:bCs w:val="0"/>
          <w:sz w:val="24"/>
        </w:rPr>
        <w:t>表5</w:t>
      </w:r>
      <w:r>
        <w:rPr>
          <w:rFonts w:hint="eastAsia"/>
          <w:b/>
          <w:bCs w:val="0"/>
          <w:sz w:val="24"/>
          <w:lang w:val="en-US" w:eastAsia="zh-CN"/>
        </w:rPr>
        <w:t>.3-1</w:t>
      </w:r>
      <w:r>
        <w:rPr>
          <w:rFonts w:hint="eastAsia"/>
          <w:b/>
          <w:bCs w:val="0"/>
          <w:sz w:val="24"/>
        </w:rPr>
        <w:t xml:space="preserve"> </w:t>
      </w:r>
      <w:r>
        <w:rPr>
          <w:b/>
          <w:bCs w:val="0"/>
          <w:sz w:val="24"/>
        </w:rPr>
        <w:t xml:space="preserve"> </w:t>
      </w:r>
      <w:r>
        <w:rPr>
          <w:rFonts w:hint="eastAsia"/>
          <w:b/>
          <w:bCs w:val="0"/>
          <w:sz w:val="24"/>
          <w:lang w:val="en-US" w:eastAsia="zh-CN"/>
        </w:rPr>
        <w:t>定向施工过程预先危险性分析表</w:t>
      </w:r>
    </w:p>
    <w:tbl>
      <w:tblPr>
        <w:tblStyle w:val="52"/>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29"/>
        <w:gridCol w:w="736"/>
        <w:gridCol w:w="2578"/>
        <w:gridCol w:w="656"/>
        <w:gridCol w:w="816"/>
        <w:gridCol w:w="310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blHeader/>
        </w:trPr>
        <w:tc>
          <w:tcPr>
            <w:tcW w:w="629"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kern w:val="0"/>
                <w:szCs w:val="21"/>
              </w:rPr>
            </w:pPr>
            <w:r>
              <w:rPr>
                <w:rFonts w:hint="default" w:ascii="Times New Roman" w:hAnsi="Times New Roman" w:cs="Times New Roman"/>
                <w:b/>
                <w:kern w:val="0"/>
                <w:szCs w:val="21"/>
              </w:rPr>
              <w:t>序号</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b/>
                <w:kern w:val="0"/>
                <w:szCs w:val="21"/>
                <w:lang w:val="en-US" w:eastAsia="zh-CN"/>
              </w:rPr>
            </w:pPr>
            <w:r>
              <w:rPr>
                <w:rFonts w:hint="default" w:ascii="Times New Roman" w:hAnsi="Times New Roman" w:cs="Times New Roman"/>
                <w:b/>
                <w:kern w:val="0"/>
                <w:szCs w:val="21"/>
                <w:lang w:val="en-US" w:eastAsia="zh-CN"/>
              </w:rPr>
              <w:t>危险类型</w:t>
            </w:r>
          </w:p>
        </w:tc>
        <w:tc>
          <w:tcPr>
            <w:tcW w:w="2578"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b/>
                <w:kern w:val="0"/>
                <w:szCs w:val="21"/>
                <w:lang w:val="en-US" w:eastAsia="zh-CN"/>
              </w:rPr>
            </w:pPr>
            <w:r>
              <w:rPr>
                <w:rFonts w:hint="default" w:ascii="Times New Roman" w:hAnsi="Times New Roman" w:cs="Times New Roman"/>
                <w:b/>
                <w:kern w:val="0"/>
                <w:szCs w:val="21"/>
                <w:lang w:val="en-US" w:eastAsia="zh-CN"/>
              </w:rPr>
              <w:t>可能的原因</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b/>
                <w:kern w:val="0"/>
                <w:szCs w:val="21"/>
                <w:lang w:val="en-US" w:eastAsia="zh-CN"/>
              </w:rPr>
            </w:pPr>
            <w:r>
              <w:rPr>
                <w:rFonts w:hint="default" w:ascii="Times New Roman" w:hAnsi="Times New Roman" w:cs="Times New Roman"/>
                <w:b/>
                <w:kern w:val="0"/>
                <w:szCs w:val="21"/>
                <w:lang w:val="en-US" w:eastAsia="zh-CN"/>
              </w:rPr>
              <w:t>可能后果</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b/>
                <w:kern w:val="0"/>
                <w:szCs w:val="21"/>
                <w:lang w:val="en-US" w:eastAsia="zh-CN"/>
              </w:rPr>
            </w:pPr>
            <w:r>
              <w:rPr>
                <w:rFonts w:hint="default" w:ascii="Times New Roman" w:hAnsi="Times New Roman" w:cs="Times New Roman"/>
                <w:b/>
                <w:kern w:val="0"/>
                <w:szCs w:val="21"/>
                <w:lang w:val="en-US" w:eastAsia="zh-CN"/>
              </w:rPr>
              <w:t>危险等级</w:t>
            </w:r>
          </w:p>
        </w:tc>
        <w:tc>
          <w:tcPr>
            <w:tcW w:w="3107" w:type="dxa"/>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b/>
                <w:kern w:val="0"/>
                <w:szCs w:val="21"/>
              </w:rPr>
            </w:pPr>
            <w:r>
              <w:rPr>
                <w:rFonts w:hint="default" w:ascii="Times New Roman" w:hAnsi="Times New Roman" w:cs="Times New Roman"/>
                <w:b/>
                <w:kern w:val="0"/>
                <w:szCs w:val="21"/>
                <w:lang w:val="en-US" w:eastAsia="zh-CN"/>
              </w:rPr>
              <w:t>预防措施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火灾爆炸</w:t>
            </w:r>
          </w:p>
        </w:tc>
        <w:tc>
          <w:tcPr>
            <w:tcW w:w="2578" w:type="dxa"/>
            <w:tcBorders>
              <w:lef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 xml:space="preserve">1.井喷或井喷失控后，由于井底喷出物撞击井架等金属产生的撞击火花； </w:t>
            </w:r>
          </w:p>
          <w:p>
            <w:pPr>
              <w:keepNext w:val="0"/>
              <w:keepLines w:val="0"/>
              <w:widowControl/>
              <w:suppressLineNumbers w:val="0"/>
              <w:spacing w:before="0" w:beforeAutospacing="0" w:after="0" w:afterAutospacing="0"/>
              <w:ind w:left="0" w:right="0"/>
              <w:jc w:val="left"/>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 xml:space="preserve">2.现场明火、违章吸烟、有效区域内的其他火源、进入井场的车辆排气筒没有配阻火器； </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3.井场用电气不防爆等</w:t>
            </w:r>
            <w:r>
              <w:rPr>
                <w:rFonts w:hint="eastAsia" w:ascii="Times New Roman" w:hAnsi="Times New Roman" w:eastAsia="宋体" w:cs="Times New Roman"/>
                <w:color w:val="000000"/>
                <w:kern w:val="0"/>
                <w:sz w:val="21"/>
                <w:szCs w:val="21"/>
                <w:lang w:val="en-US" w:eastAsia="zh-CN" w:bidi="ar"/>
              </w:rPr>
              <w:t>；</w:t>
            </w:r>
          </w:p>
          <w:p>
            <w:pPr>
              <w:keepNext w:val="0"/>
              <w:keepLines w:val="0"/>
              <w:widowControl/>
              <w:suppressLineNumbers w:val="0"/>
              <w:spacing w:before="0" w:beforeAutospacing="0" w:after="0" w:afterAutospacing="0"/>
              <w:ind w:left="0" w:right="0"/>
              <w:jc w:val="left"/>
              <w:rPr>
                <w:rFonts w:hint="default" w:ascii="Times New Roman" w:hAnsi="Times New Roman" w:cs="Times New Roman"/>
                <w:kern w:val="0"/>
                <w:szCs w:val="21"/>
              </w:rPr>
            </w:pPr>
            <w:r>
              <w:rPr>
                <w:rFonts w:hint="eastAsia" w:ascii="Times New Roman" w:hAnsi="Times New Roman" w:eastAsia="宋体" w:cs="Times New Roman"/>
                <w:color w:val="000000"/>
                <w:kern w:val="0"/>
                <w:sz w:val="21"/>
                <w:szCs w:val="21"/>
                <w:lang w:val="en-US" w:eastAsia="zh-CN" w:bidi="ar"/>
              </w:rPr>
              <w:t>4.电气仪表短路、过载、接触不良等，照明器具安置或使用不当</w:t>
            </w:r>
            <w:r>
              <w:rPr>
                <w:rFonts w:hint="default" w:ascii="Times New Roman" w:hAnsi="Times New Roman" w:eastAsia="宋体" w:cs="Times New Roman"/>
                <w:color w:val="000000"/>
                <w:kern w:val="0"/>
                <w:sz w:val="21"/>
                <w:szCs w:val="21"/>
                <w:lang w:val="en-US" w:eastAsia="zh-CN" w:bidi="ar"/>
              </w:rPr>
              <w:t>。</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设备损坏、人员伤亡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rPr>
            </w:pPr>
            <w:r>
              <w:rPr>
                <w:rFonts w:hint="default" w:ascii="Times New Roman" w:hAnsi="Times New Roman" w:eastAsia="宋体" w:cs="Times New Roman"/>
                <w:kern w:val="0"/>
                <w:szCs w:val="21"/>
              </w:rPr>
              <w:t>Ⅲ~Ⅳ</w:t>
            </w:r>
          </w:p>
        </w:tc>
        <w:tc>
          <w:tcPr>
            <w:tcW w:w="3107" w:type="dxa"/>
            <w:noWrap w:val="0"/>
            <w:vAlign w:val="center"/>
          </w:tcPr>
          <w:p>
            <w:pPr>
              <w:keepNext w:val="0"/>
              <w:keepLines w:val="0"/>
              <w:widowControl/>
              <w:numPr>
                <w:ilvl w:val="0"/>
                <w:numId w:val="21"/>
              </w:numPr>
              <w:suppressLineNumbers w:val="0"/>
              <w:overflowPunct w:val="0"/>
              <w:spacing w:before="0" w:beforeAutospacing="0" w:after="0" w:afterAutospacing="0"/>
              <w:ind w:left="0" w:right="0"/>
              <w:jc w:val="both"/>
              <w:rPr>
                <w:rFonts w:hint="default"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加强员工培训，严禁违章作业；</w:t>
            </w:r>
          </w:p>
          <w:p>
            <w:pPr>
              <w:keepNext w:val="0"/>
              <w:keepLines w:val="0"/>
              <w:widowControl/>
              <w:numPr>
                <w:ilvl w:val="0"/>
                <w:numId w:val="21"/>
              </w:numPr>
              <w:suppressLineNumbers w:val="0"/>
              <w:overflowPunct w:val="0"/>
              <w:spacing w:before="0" w:beforeAutospacing="0" w:after="0" w:afterAutospacing="0"/>
              <w:ind w:left="0" w:right="0"/>
              <w:jc w:val="both"/>
              <w:rPr>
                <w:rFonts w:hint="default" w:ascii="Times New Roman" w:hAnsi="Times New Roman" w:eastAsia="宋体" w:cs="Times New Roman"/>
                <w:spacing w:val="-9"/>
                <w:sz w:val="21"/>
                <w:szCs w:val="21"/>
                <w:lang w:eastAsia="zh-CN"/>
              </w:rPr>
            </w:pPr>
            <w:r>
              <w:rPr>
                <w:rFonts w:hint="default" w:ascii="Times New Roman" w:hAnsi="Times New Roman" w:eastAsia="宋体" w:cs="Times New Roman"/>
                <w:sz w:val="21"/>
                <w:szCs w:val="21"/>
              </w:rPr>
              <w:t>明确火灾爆炸后的应急措施</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pacing w:val="-9"/>
                <w:sz w:val="21"/>
                <w:szCs w:val="21"/>
              </w:rPr>
              <w:t>和应急响应</w:t>
            </w:r>
            <w:r>
              <w:rPr>
                <w:rFonts w:hint="eastAsia" w:ascii="Times New Roman" w:hAnsi="Times New Roman" w:eastAsia="宋体" w:cs="Times New Roman"/>
                <w:spacing w:val="-9"/>
                <w:sz w:val="21"/>
                <w:szCs w:val="21"/>
                <w:lang w:eastAsia="zh-CN"/>
              </w:rPr>
              <w:t>，</w:t>
            </w:r>
            <w:r>
              <w:rPr>
                <w:rFonts w:hint="eastAsia" w:ascii="Times New Roman" w:hAnsi="Times New Roman" w:eastAsia="宋体" w:cs="Times New Roman"/>
                <w:spacing w:val="-9"/>
                <w:sz w:val="21"/>
                <w:szCs w:val="21"/>
                <w:lang w:val="en-US" w:eastAsia="zh-CN"/>
              </w:rPr>
              <w:t>定期对现场作业人员进行培训与演练</w:t>
            </w:r>
            <w:r>
              <w:rPr>
                <w:rFonts w:hint="default" w:ascii="Times New Roman" w:hAnsi="Times New Roman" w:eastAsia="宋体" w:cs="Times New Roman"/>
                <w:spacing w:val="-9"/>
                <w:sz w:val="21"/>
                <w:szCs w:val="21"/>
                <w:lang w:eastAsia="zh-CN"/>
              </w:rPr>
              <w:t>；</w:t>
            </w:r>
          </w:p>
          <w:p>
            <w:pPr>
              <w:keepNext w:val="0"/>
              <w:keepLines w:val="0"/>
              <w:widowControl/>
              <w:numPr>
                <w:ilvl w:val="0"/>
                <w:numId w:val="21"/>
              </w:numPr>
              <w:suppressLineNumbers w:val="0"/>
              <w:overflowPunct w:val="0"/>
              <w:spacing w:before="0" w:beforeAutospacing="0" w:after="0" w:afterAutospacing="0"/>
              <w:ind w:left="0" w:right="0"/>
              <w:jc w:val="both"/>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pacing w:val="-5"/>
                <w:sz w:val="21"/>
                <w:szCs w:val="21"/>
              </w:rPr>
              <w:t>作业人员严禁</w:t>
            </w:r>
            <w:r>
              <w:rPr>
                <w:rFonts w:hint="default" w:ascii="Times New Roman" w:hAnsi="Times New Roman" w:eastAsia="宋体" w:cs="Times New Roman"/>
                <w:spacing w:val="-5"/>
                <w:sz w:val="21"/>
                <w:szCs w:val="21"/>
                <w:lang w:val="en-US" w:eastAsia="zh-CN"/>
              </w:rPr>
              <w:t>携带</w:t>
            </w:r>
            <w:r>
              <w:rPr>
                <w:rFonts w:hint="default" w:ascii="Times New Roman" w:hAnsi="Times New Roman" w:eastAsia="宋体" w:cs="Times New Roman"/>
                <w:spacing w:val="-5"/>
                <w:sz w:val="21"/>
                <w:szCs w:val="21"/>
              </w:rPr>
              <w:t>烟火</w:t>
            </w:r>
            <w:r>
              <w:rPr>
                <w:rFonts w:hint="default" w:ascii="Times New Roman" w:hAnsi="Times New Roman" w:eastAsia="宋体" w:cs="Times New Roman"/>
                <w:spacing w:val="-5"/>
                <w:sz w:val="21"/>
                <w:szCs w:val="21"/>
                <w:lang w:eastAsia="zh-CN"/>
              </w:rPr>
              <w:t>；</w:t>
            </w:r>
          </w:p>
          <w:p>
            <w:pPr>
              <w:keepNext w:val="0"/>
              <w:keepLines w:val="0"/>
              <w:widowControl/>
              <w:numPr>
                <w:ilvl w:val="0"/>
                <w:numId w:val="21"/>
              </w:numPr>
              <w:suppressLineNumbers w:val="0"/>
              <w:overflowPunct w:val="0"/>
              <w:spacing w:before="0" w:beforeAutospacing="0" w:after="0" w:afterAutospacing="0"/>
              <w:ind w:left="0" w:right="0"/>
              <w:jc w:val="both"/>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pacing w:val="1"/>
                <w:sz w:val="21"/>
                <w:szCs w:val="21"/>
              </w:rPr>
              <w:t>采用防爆等级符合</w:t>
            </w:r>
            <w:r>
              <w:rPr>
                <w:rFonts w:hint="default" w:ascii="Times New Roman" w:hAnsi="Times New Roman" w:eastAsia="宋体" w:cs="Times New Roman"/>
                <w:spacing w:val="-8"/>
                <w:sz w:val="21"/>
                <w:szCs w:val="21"/>
              </w:rPr>
              <w:t>要求</w:t>
            </w:r>
            <w:r>
              <w:rPr>
                <w:rFonts w:hint="default" w:ascii="Times New Roman" w:hAnsi="Times New Roman" w:eastAsia="宋体" w:cs="Times New Roman"/>
                <w:spacing w:val="-8"/>
                <w:sz w:val="21"/>
                <w:szCs w:val="21"/>
                <w:lang w:val="en-US" w:eastAsia="zh-CN"/>
              </w:rPr>
              <w:t>的</w:t>
            </w:r>
            <w:r>
              <w:rPr>
                <w:rFonts w:hint="default" w:ascii="Times New Roman" w:hAnsi="Times New Roman" w:eastAsia="宋体" w:cs="Times New Roman"/>
                <w:spacing w:val="1"/>
                <w:sz w:val="21"/>
                <w:szCs w:val="21"/>
              </w:rPr>
              <w:t>电气设备</w:t>
            </w:r>
            <w:r>
              <w:rPr>
                <w:rFonts w:hint="default" w:ascii="Times New Roman" w:hAnsi="Times New Roman" w:eastAsia="宋体" w:cs="Times New Roman"/>
                <w:spacing w:val="-9"/>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36"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井喷</w:t>
            </w:r>
            <w:r>
              <w:rPr>
                <w:rFonts w:hint="eastAsia" w:ascii="Times New Roman" w:hAnsi="Times New Roman" w:cs="Times New Roman"/>
                <w:kern w:val="0"/>
                <w:szCs w:val="21"/>
                <w:lang w:val="en-US" w:eastAsia="zh-CN"/>
              </w:rPr>
              <w:t>及井喷失控</w:t>
            </w:r>
          </w:p>
        </w:tc>
        <w:tc>
          <w:tcPr>
            <w:tcW w:w="2578" w:type="dxa"/>
            <w:tcBorders>
              <w:left w:val="single" w:color="auto" w:sz="4" w:space="0"/>
            </w:tcBorders>
            <w:noWrap w:val="0"/>
            <w:vAlign w:val="center"/>
          </w:tcPr>
          <w:p>
            <w:pPr>
              <w:keepNext w:val="0"/>
              <w:keepLines w:val="0"/>
              <w:widowControl/>
              <w:numPr>
                <w:ilvl w:val="0"/>
                <w:numId w:val="22"/>
              </w:numPr>
              <w:suppressLineNumbers w:val="0"/>
              <w:overflowPunct w:val="0"/>
              <w:spacing w:before="0" w:beforeAutospacing="0" w:after="0" w:afterAutospacing="0"/>
              <w:ind w:left="0" w:right="0"/>
              <w:jc w:val="left"/>
              <w:rPr>
                <w:rFonts w:hint="default" w:ascii="Times New Roman" w:hAnsi="Times New Roman" w:eastAsia="宋体" w:cs="Times New Roman"/>
                <w:spacing w:val="-8"/>
                <w:sz w:val="21"/>
                <w:szCs w:val="21"/>
                <w:lang w:eastAsia="zh-CN"/>
              </w:rPr>
            </w:pPr>
            <w:r>
              <w:rPr>
                <w:rFonts w:hint="default" w:ascii="Times New Roman" w:hAnsi="Times New Roman" w:eastAsia="宋体" w:cs="Times New Roman"/>
                <w:spacing w:val="-8"/>
                <w:sz w:val="21"/>
                <w:szCs w:val="21"/>
              </w:rPr>
              <w:t>地层压力异常</w:t>
            </w:r>
            <w:r>
              <w:rPr>
                <w:rFonts w:hint="default" w:ascii="Times New Roman" w:hAnsi="Times New Roman" w:eastAsia="宋体" w:cs="Times New Roman"/>
                <w:spacing w:val="-8"/>
                <w:sz w:val="21"/>
                <w:szCs w:val="21"/>
                <w:lang w:eastAsia="zh-CN"/>
              </w:rPr>
              <w:t>；</w:t>
            </w:r>
          </w:p>
          <w:p>
            <w:pPr>
              <w:keepNext w:val="0"/>
              <w:keepLines w:val="0"/>
              <w:widowControl/>
              <w:numPr>
                <w:ilvl w:val="0"/>
                <w:numId w:val="22"/>
              </w:numPr>
              <w:suppressLineNumbers w:val="0"/>
              <w:overflowPunct w:val="0"/>
              <w:spacing w:before="0" w:beforeAutospacing="0" w:after="0" w:afterAutospacing="0"/>
              <w:ind w:left="0" w:right="0"/>
              <w:jc w:val="left"/>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pacing w:val="-8"/>
                <w:sz w:val="21"/>
                <w:szCs w:val="21"/>
                <w:lang w:val="en-US" w:eastAsia="zh-CN"/>
              </w:rPr>
              <w:t>误操作；</w:t>
            </w:r>
          </w:p>
          <w:p>
            <w:pPr>
              <w:keepNext w:val="0"/>
              <w:keepLines w:val="0"/>
              <w:widowControl/>
              <w:numPr>
                <w:ilvl w:val="0"/>
                <w:numId w:val="22"/>
              </w:numPr>
              <w:suppressLineNumbers w:val="0"/>
              <w:overflowPunct w:val="0"/>
              <w:spacing w:before="0" w:beforeAutospacing="0" w:after="0" w:afterAutospacing="0"/>
              <w:ind w:left="0" w:right="0"/>
              <w:jc w:val="left"/>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spacing w:val="-8"/>
                <w:sz w:val="21"/>
                <w:szCs w:val="21"/>
                <w:lang w:val="en-US" w:eastAsia="zh-CN"/>
              </w:rPr>
              <w:t>井口装置和井控管汇失效</w:t>
            </w:r>
            <w:r>
              <w:rPr>
                <w:rFonts w:hint="default" w:ascii="Times New Roman" w:hAnsi="Times New Roman" w:eastAsia="宋体" w:cs="Times New Roman"/>
                <w:spacing w:val="-8"/>
                <w:sz w:val="21"/>
                <w:szCs w:val="21"/>
                <w:lang w:val="en-US" w:eastAsia="zh-CN"/>
              </w:rPr>
              <w:t>；</w:t>
            </w:r>
          </w:p>
          <w:p>
            <w:pPr>
              <w:keepNext w:val="0"/>
              <w:keepLines w:val="0"/>
              <w:widowControl/>
              <w:numPr>
                <w:ilvl w:val="0"/>
                <w:numId w:val="22"/>
              </w:numPr>
              <w:suppressLineNumbers w:val="0"/>
              <w:overflowPunct w:val="0"/>
              <w:spacing w:before="0" w:beforeAutospacing="0" w:after="0" w:afterAutospacing="0"/>
              <w:ind w:left="0" w:right="0"/>
              <w:jc w:val="left"/>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pacing w:val="-3"/>
                <w:sz w:val="21"/>
                <w:szCs w:val="21"/>
              </w:rPr>
              <w:t>地层压力掌握不准</w:t>
            </w:r>
            <w:r>
              <w:rPr>
                <w:rFonts w:hint="default" w:ascii="Times New Roman" w:hAnsi="Times New Roman" w:eastAsia="宋体" w:cs="Times New Roman"/>
                <w:spacing w:val="-8"/>
                <w:sz w:val="21"/>
                <w:szCs w:val="21"/>
                <w:lang w:eastAsia="zh-CN"/>
              </w:rPr>
              <w:t>。</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设备损坏、人员伤亡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Ⅲ~Ⅳ</w:t>
            </w:r>
          </w:p>
        </w:tc>
        <w:tc>
          <w:tcPr>
            <w:tcW w:w="3107" w:type="dxa"/>
            <w:noWrap w:val="0"/>
            <w:vAlign w:val="center"/>
          </w:tcPr>
          <w:p>
            <w:pPr>
              <w:keepNext w:val="0"/>
              <w:keepLines w:val="0"/>
              <w:widowControl/>
              <w:numPr>
                <w:ilvl w:val="0"/>
                <w:numId w:val="23"/>
              </w:numPr>
              <w:suppressLineNumbers w:val="0"/>
              <w:overflowPunct w:val="0"/>
              <w:spacing w:before="0" w:beforeAutospacing="0" w:after="0" w:afterAutospacing="0"/>
              <w:ind w:left="0" w:right="0"/>
              <w:jc w:val="both"/>
              <w:rPr>
                <w:rFonts w:hint="default" w:ascii="Times New Roman" w:hAnsi="Times New Roman" w:eastAsia="宋体" w:cs="Times New Roman"/>
                <w:spacing w:val="-13"/>
                <w:sz w:val="21"/>
                <w:szCs w:val="21"/>
                <w:lang w:eastAsia="zh-CN"/>
              </w:rPr>
            </w:pPr>
            <w:r>
              <w:rPr>
                <w:rFonts w:hint="eastAsia" w:ascii="Times New Roman" w:hAnsi="Times New Roman" w:eastAsia="宋体" w:cs="Times New Roman"/>
                <w:spacing w:val="-9"/>
                <w:sz w:val="21"/>
                <w:szCs w:val="21"/>
                <w:lang w:val="en-US" w:eastAsia="zh-CN"/>
              </w:rPr>
              <w:t>加强员工培训，严禁违章作业</w:t>
            </w:r>
            <w:r>
              <w:rPr>
                <w:rFonts w:hint="eastAsia" w:cs="Times New Roman"/>
                <w:spacing w:val="-9"/>
                <w:sz w:val="21"/>
                <w:szCs w:val="21"/>
                <w:lang w:val="en-US" w:eastAsia="zh-CN"/>
              </w:rPr>
              <w:t>；</w:t>
            </w:r>
          </w:p>
          <w:p>
            <w:pPr>
              <w:keepNext w:val="0"/>
              <w:keepLines w:val="0"/>
              <w:widowControl/>
              <w:numPr>
                <w:ilvl w:val="0"/>
                <w:numId w:val="23"/>
              </w:numPr>
              <w:suppressLineNumbers w:val="0"/>
              <w:overflowPunct w:val="0"/>
              <w:spacing w:before="0" w:beforeAutospacing="0" w:after="0" w:afterAutospacing="0"/>
              <w:ind w:left="0" w:right="0"/>
              <w:jc w:val="both"/>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z w:val="21"/>
                <w:szCs w:val="21"/>
              </w:rPr>
              <w:t>明确井喷后的应急措施和应</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pacing w:val="-13"/>
                <w:sz w:val="21"/>
                <w:szCs w:val="21"/>
              </w:rPr>
              <w:t>急响应</w:t>
            </w:r>
            <w:r>
              <w:rPr>
                <w:rFonts w:hint="eastAsia" w:ascii="Times New Roman" w:hAnsi="Times New Roman" w:eastAsia="宋体" w:cs="Times New Roman"/>
                <w:spacing w:val="-9"/>
                <w:sz w:val="21"/>
                <w:szCs w:val="21"/>
                <w:lang w:eastAsia="zh-CN"/>
              </w:rPr>
              <w:t>，</w:t>
            </w:r>
            <w:r>
              <w:rPr>
                <w:rFonts w:hint="eastAsia" w:ascii="Times New Roman" w:hAnsi="Times New Roman" w:eastAsia="宋体" w:cs="Times New Roman"/>
                <w:spacing w:val="-9"/>
                <w:sz w:val="21"/>
                <w:szCs w:val="21"/>
                <w:lang w:val="en-US" w:eastAsia="zh-CN"/>
              </w:rPr>
              <w:t>定期对现场作业人员进行培训与演练</w:t>
            </w:r>
            <w:r>
              <w:rPr>
                <w:rFonts w:hint="default" w:ascii="Times New Roman" w:hAnsi="Times New Roman" w:eastAsia="宋体" w:cs="Times New Roman"/>
                <w:spacing w:val="-13"/>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36"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3</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中毒窒息</w:t>
            </w:r>
          </w:p>
        </w:tc>
        <w:tc>
          <w:tcPr>
            <w:tcW w:w="2578"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eastAsia="宋体" w:cs="Times New Roman"/>
                <w:spacing w:val="-8"/>
                <w:sz w:val="21"/>
                <w:szCs w:val="21"/>
                <w:lang w:eastAsia="zh-CN"/>
              </w:rPr>
            </w:pPr>
            <w:r>
              <w:rPr>
                <w:rFonts w:hint="default" w:ascii="Times New Roman" w:hAnsi="Times New Roman" w:cs="Times New Roman"/>
                <w:spacing w:val="-8"/>
                <w:sz w:val="21"/>
                <w:szCs w:val="21"/>
                <w:lang w:val="en-US" w:eastAsia="zh-CN"/>
              </w:rPr>
              <w:t>1.</w:t>
            </w:r>
            <w:r>
              <w:rPr>
                <w:rFonts w:hint="default" w:ascii="Times New Roman" w:hAnsi="Times New Roman" w:eastAsia="宋体" w:cs="Times New Roman"/>
                <w:spacing w:val="-8"/>
                <w:sz w:val="21"/>
                <w:szCs w:val="21"/>
              </w:rPr>
              <w:t>油气大量泄漏</w:t>
            </w:r>
            <w:r>
              <w:rPr>
                <w:rFonts w:hint="eastAsia" w:cs="Times New Roman"/>
                <w:spacing w:val="-8"/>
                <w:sz w:val="21"/>
                <w:szCs w:val="21"/>
                <w:lang w:val="en-US" w:eastAsia="zh-CN"/>
              </w:rPr>
              <w:t>挥发</w:t>
            </w:r>
            <w:r>
              <w:rPr>
                <w:rFonts w:hint="default" w:ascii="Times New Roman" w:hAnsi="Times New Roman" w:eastAsia="宋体" w:cs="Times New Roman"/>
                <w:spacing w:val="-8"/>
                <w:sz w:val="21"/>
                <w:szCs w:val="21"/>
                <w:lang w:eastAsia="zh-CN"/>
              </w:rPr>
              <w:t>；</w:t>
            </w:r>
          </w:p>
          <w:p>
            <w:pPr>
              <w:keepNext w:val="0"/>
              <w:keepLines w:val="0"/>
              <w:widowControl/>
              <w:suppressLineNumbers w:val="0"/>
              <w:overflowPunct w:val="0"/>
              <w:spacing w:before="0" w:beforeAutospacing="0" w:after="0" w:afterAutospacing="0"/>
              <w:ind w:left="0" w:right="0"/>
              <w:jc w:val="left"/>
              <w:rPr>
                <w:rFonts w:hint="default" w:ascii="Times New Roman" w:hAnsi="Times New Roman" w:eastAsia="宋体" w:cs="Times New Roman"/>
                <w:spacing w:val="-8"/>
                <w:sz w:val="21"/>
                <w:szCs w:val="21"/>
                <w:lang w:val="en-US" w:eastAsia="zh-CN"/>
              </w:rPr>
            </w:pPr>
            <w:r>
              <w:rPr>
                <w:rFonts w:hint="default" w:ascii="Times New Roman" w:hAnsi="Times New Roman" w:cs="Times New Roman"/>
                <w:spacing w:val="-8"/>
                <w:sz w:val="21"/>
                <w:szCs w:val="21"/>
                <w:lang w:val="en-US" w:eastAsia="zh-CN"/>
              </w:rPr>
              <w:t>2.</w:t>
            </w:r>
            <w:r>
              <w:rPr>
                <w:rFonts w:hint="eastAsia" w:cs="Times New Roman"/>
                <w:spacing w:val="-8"/>
                <w:sz w:val="21"/>
                <w:szCs w:val="21"/>
                <w:lang w:val="en-US" w:eastAsia="zh-CN"/>
              </w:rPr>
              <w:t>挥发油气介质含</w:t>
            </w:r>
            <w:r>
              <w:rPr>
                <w:rFonts w:hint="default" w:ascii="Times New Roman" w:hAnsi="Times New Roman" w:eastAsia="宋体" w:cs="Times New Roman"/>
                <w:spacing w:val="-8"/>
                <w:sz w:val="21"/>
                <w:szCs w:val="21"/>
              </w:rPr>
              <w:t>硫化氢</w:t>
            </w:r>
            <w:r>
              <w:rPr>
                <w:rFonts w:hint="eastAsia" w:cs="Times New Roman"/>
                <w:spacing w:val="-8"/>
                <w:sz w:val="21"/>
                <w:szCs w:val="21"/>
                <w:lang w:val="en-US" w:eastAsia="zh-CN"/>
              </w:rPr>
              <w:t>浓度过高</w:t>
            </w:r>
            <w:r>
              <w:rPr>
                <w:rFonts w:hint="default" w:ascii="Times New Roman" w:hAnsi="Times New Roman" w:eastAsia="宋体" w:cs="Times New Roman"/>
                <w:spacing w:val="-8"/>
                <w:sz w:val="21"/>
                <w:szCs w:val="21"/>
                <w:lang w:eastAsia="zh-CN"/>
              </w:rPr>
              <w:t>；</w:t>
            </w:r>
          </w:p>
          <w:p>
            <w:pPr>
              <w:keepNext w:val="0"/>
              <w:keepLines w:val="0"/>
              <w:widowControl/>
              <w:suppressLineNumbers w:val="0"/>
              <w:overflowPunct w:val="0"/>
              <w:spacing w:before="0" w:beforeAutospacing="0" w:after="0" w:afterAutospacing="0"/>
              <w:ind w:left="0" w:leftChars="0" w:right="0" w:right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spacing w:val="-8"/>
                <w:sz w:val="21"/>
                <w:szCs w:val="21"/>
                <w:lang w:val="en-US" w:eastAsia="zh-CN"/>
              </w:rPr>
              <w:t>3.</w:t>
            </w:r>
            <w:r>
              <w:rPr>
                <w:rFonts w:hint="default" w:ascii="Times New Roman" w:hAnsi="Times New Roman" w:eastAsia="宋体" w:cs="Times New Roman"/>
                <w:spacing w:val="-8"/>
                <w:sz w:val="21"/>
                <w:szCs w:val="21"/>
              </w:rPr>
              <w:t>现场人员</w:t>
            </w:r>
            <w:r>
              <w:rPr>
                <w:rFonts w:hint="eastAsia" w:cs="Times New Roman"/>
                <w:spacing w:val="-8"/>
                <w:sz w:val="21"/>
                <w:szCs w:val="21"/>
                <w:lang w:val="en-US" w:eastAsia="zh-CN"/>
              </w:rPr>
              <w:t>未正确</w:t>
            </w:r>
            <w:r>
              <w:rPr>
                <w:rFonts w:hint="default" w:ascii="Times New Roman" w:hAnsi="Times New Roman" w:eastAsia="宋体" w:cs="Times New Roman"/>
                <w:spacing w:val="-8"/>
                <w:sz w:val="21"/>
                <w:szCs w:val="21"/>
              </w:rPr>
              <w:t>配备相应的防护设备</w:t>
            </w:r>
            <w:r>
              <w:rPr>
                <w:rFonts w:hint="default" w:ascii="Times New Roman" w:hAnsi="Times New Roman" w:eastAsia="宋体" w:cs="Times New Roman"/>
                <w:spacing w:val="-8"/>
                <w:sz w:val="21"/>
                <w:szCs w:val="21"/>
                <w:lang w:val="en-US" w:eastAsia="zh-CN"/>
              </w:rPr>
              <w:t>。</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Ⅲ~Ⅳ</w:t>
            </w:r>
          </w:p>
        </w:tc>
        <w:tc>
          <w:tcPr>
            <w:tcW w:w="3107" w:type="dxa"/>
            <w:noWrap w:val="0"/>
            <w:vAlign w:val="center"/>
          </w:tcPr>
          <w:p>
            <w:pPr>
              <w:keepNext w:val="0"/>
              <w:keepLines w:val="0"/>
              <w:widowControl/>
              <w:numPr>
                <w:ilvl w:val="0"/>
                <w:numId w:val="24"/>
              </w:numPr>
              <w:suppressLineNumbers w:val="0"/>
              <w:overflowPunct w:val="0"/>
              <w:spacing w:before="0" w:beforeAutospacing="0" w:after="0" w:afterAutospacing="0"/>
              <w:ind w:left="0" w:right="0"/>
              <w:jc w:val="both"/>
              <w:rPr>
                <w:rFonts w:hint="default" w:ascii="Times New Roman" w:hAnsi="Times New Roman" w:eastAsia="宋体" w:cs="Times New Roman"/>
                <w:spacing w:val="-9"/>
                <w:sz w:val="21"/>
                <w:szCs w:val="21"/>
                <w:lang w:eastAsia="zh-CN"/>
              </w:rPr>
            </w:pPr>
            <w:r>
              <w:rPr>
                <w:rFonts w:hint="eastAsia" w:ascii="Times New Roman" w:hAnsi="Times New Roman" w:eastAsia="宋体" w:cs="Times New Roman"/>
                <w:spacing w:val="-9"/>
                <w:sz w:val="21"/>
                <w:szCs w:val="21"/>
                <w:lang w:val="en-US" w:eastAsia="zh-CN"/>
              </w:rPr>
              <w:t>加强员工培训，严禁违章作业</w:t>
            </w:r>
            <w:r>
              <w:rPr>
                <w:rFonts w:hint="eastAsia" w:cs="Times New Roman"/>
                <w:spacing w:val="-9"/>
                <w:sz w:val="21"/>
                <w:szCs w:val="21"/>
                <w:lang w:val="en-US" w:eastAsia="zh-CN"/>
              </w:rPr>
              <w:t>；</w:t>
            </w:r>
          </w:p>
          <w:p>
            <w:pPr>
              <w:keepNext w:val="0"/>
              <w:keepLines w:val="0"/>
              <w:widowControl/>
              <w:numPr>
                <w:ilvl w:val="0"/>
                <w:numId w:val="24"/>
              </w:numPr>
              <w:suppressLineNumbers w:val="0"/>
              <w:overflowPunct w:val="0"/>
              <w:spacing w:before="0" w:beforeAutospacing="0" w:after="0" w:afterAutospacing="0"/>
              <w:ind w:left="0" w:right="0"/>
              <w:jc w:val="both"/>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明确油气泄漏后的应急措施</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pacing w:val="-9"/>
                <w:sz w:val="21"/>
                <w:szCs w:val="21"/>
              </w:rPr>
              <w:t>和应急响应</w:t>
            </w:r>
            <w:r>
              <w:rPr>
                <w:rFonts w:hint="eastAsia" w:ascii="Times New Roman" w:hAnsi="Times New Roman" w:eastAsia="宋体" w:cs="Times New Roman"/>
                <w:spacing w:val="-9"/>
                <w:sz w:val="21"/>
                <w:szCs w:val="21"/>
                <w:lang w:eastAsia="zh-CN"/>
              </w:rPr>
              <w:t>，</w:t>
            </w:r>
            <w:r>
              <w:rPr>
                <w:rFonts w:hint="eastAsia" w:ascii="Times New Roman" w:hAnsi="Times New Roman" w:eastAsia="宋体" w:cs="Times New Roman"/>
                <w:spacing w:val="-9"/>
                <w:sz w:val="21"/>
                <w:szCs w:val="21"/>
                <w:lang w:val="en-US" w:eastAsia="zh-CN"/>
              </w:rPr>
              <w:t>定期对现场作业人员进行培训与演练</w:t>
            </w:r>
            <w:r>
              <w:rPr>
                <w:rFonts w:hint="default" w:ascii="Times New Roman" w:hAnsi="Times New Roman" w:eastAsia="宋体" w:cs="Times New Roman"/>
                <w:spacing w:val="-9"/>
                <w:sz w:val="21"/>
                <w:szCs w:val="21"/>
                <w:lang w:eastAsia="zh-CN"/>
              </w:rPr>
              <w:t>；</w:t>
            </w:r>
          </w:p>
          <w:p>
            <w:pPr>
              <w:keepNext w:val="0"/>
              <w:keepLines w:val="0"/>
              <w:widowControl/>
              <w:numPr>
                <w:ilvl w:val="0"/>
                <w:numId w:val="24"/>
              </w:numPr>
              <w:suppressLineNumbers w:val="0"/>
              <w:overflowPunct w:val="0"/>
              <w:spacing w:before="0" w:beforeAutospacing="0" w:after="0" w:afterAutospacing="0"/>
              <w:ind w:left="0" w:right="0"/>
              <w:jc w:val="both"/>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spacing w:val="1"/>
                <w:sz w:val="21"/>
                <w:szCs w:val="21"/>
              </w:rPr>
              <w:t>确保作业人员</w:t>
            </w:r>
            <w:r>
              <w:rPr>
                <w:rFonts w:hint="eastAsia" w:cs="Times New Roman"/>
                <w:spacing w:val="1"/>
                <w:sz w:val="21"/>
                <w:szCs w:val="21"/>
                <w:lang w:val="en-US" w:eastAsia="zh-CN"/>
              </w:rPr>
              <w:t>正确</w:t>
            </w:r>
            <w:r>
              <w:rPr>
                <w:rFonts w:hint="default" w:ascii="Times New Roman" w:hAnsi="Times New Roman" w:eastAsia="宋体" w:cs="Times New Roman"/>
                <w:spacing w:val="1"/>
                <w:sz w:val="21"/>
                <w:szCs w:val="21"/>
              </w:rPr>
              <w:t>配备安</w:t>
            </w:r>
            <w:r>
              <w:rPr>
                <w:rFonts w:hint="default" w:ascii="Times New Roman" w:hAnsi="Times New Roman" w:eastAsia="宋体" w:cs="Times New Roman"/>
                <w:spacing w:val="-1"/>
                <w:sz w:val="21"/>
                <w:szCs w:val="21"/>
              </w:rPr>
              <w:t>全防护用品</w:t>
            </w:r>
            <w:r>
              <w:rPr>
                <w:rFonts w:hint="default" w:ascii="Times New Roman" w:hAnsi="Times New Roman" w:eastAsia="宋体" w:cs="Times New Roman"/>
                <w:spacing w:val="-9"/>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36"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4</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物体打击</w:t>
            </w:r>
          </w:p>
        </w:tc>
        <w:tc>
          <w:tcPr>
            <w:tcW w:w="2578"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eastAsia="宋体" w:cs="Times New Roman"/>
                <w:spacing w:val="-1"/>
                <w:sz w:val="21"/>
                <w:szCs w:val="21"/>
                <w:lang w:eastAsia="zh-CN"/>
              </w:rPr>
            </w:pPr>
            <w:r>
              <w:rPr>
                <w:rFonts w:hint="default" w:ascii="Times New Roman" w:hAnsi="Times New Roman" w:cs="Times New Roman"/>
                <w:spacing w:val="-1"/>
                <w:sz w:val="21"/>
                <w:szCs w:val="21"/>
                <w:lang w:val="en-US" w:eastAsia="zh-CN"/>
              </w:rPr>
              <w:t>1.</w:t>
            </w:r>
            <w:r>
              <w:rPr>
                <w:rFonts w:hint="eastAsia" w:cs="Times New Roman"/>
                <w:spacing w:val="-1"/>
                <w:sz w:val="21"/>
                <w:szCs w:val="21"/>
                <w:lang w:val="en-US" w:eastAsia="zh-CN"/>
              </w:rPr>
              <w:t>高空物体坠落或空中运移发生伤人</w:t>
            </w:r>
            <w:r>
              <w:rPr>
                <w:rFonts w:hint="default" w:ascii="Times New Roman" w:hAnsi="Times New Roman" w:eastAsia="宋体" w:cs="Times New Roman"/>
                <w:spacing w:val="-1"/>
                <w:sz w:val="21"/>
                <w:szCs w:val="21"/>
                <w:lang w:eastAsia="zh-CN"/>
              </w:rPr>
              <w:t>；</w:t>
            </w:r>
          </w:p>
          <w:p>
            <w:pPr>
              <w:keepNext w:val="0"/>
              <w:keepLines w:val="0"/>
              <w:widowControl/>
              <w:suppressLineNumbers w:val="0"/>
              <w:overflowPunct w:val="0"/>
              <w:spacing w:before="0" w:beforeAutospacing="0" w:after="0" w:afterAutospacing="0"/>
              <w:ind w:left="0" w:right="0"/>
              <w:jc w:val="left"/>
              <w:rPr>
                <w:rFonts w:hint="default" w:ascii="Times New Roman" w:hAnsi="Times New Roman" w:eastAsia="宋体" w:cs="Times New Roman"/>
                <w:spacing w:val="-1"/>
                <w:sz w:val="21"/>
                <w:szCs w:val="21"/>
                <w:lang w:val="en-US" w:eastAsia="zh-CN"/>
              </w:rPr>
            </w:pPr>
            <w:r>
              <w:rPr>
                <w:rFonts w:hint="default" w:ascii="Times New Roman" w:hAnsi="Times New Roman" w:cs="Times New Roman"/>
                <w:spacing w:val="-1"/>
                <w:sz w:val="21"/>
                <w:szCs w:val="21"/>
                <w:lang w:val="en-US" w:eastAsia="zh-CN"/>
              </w:rPr>
              <w:t>2.</w:t>
            </w:r>
            <w:r>
              <w:rPr>
                <w:rFonts w:hint="eastAsia" w:cs="Times New Roman"/>
                <w:spacing w:val="-1"/>
                <w:sz w:val="21"/>
                <w:szCs w:val="21"/>
                <w:lang w:val="en-US" w:eastAsia="zh-CN"/>
              </w:rPr>
              <w:t>员工</w:t>
            </w:r>
            <w:r>
              <w:rPr>
                <w:rFonts w:hint="default" w:ascii="Times New Roman" w:hAnsi="Times New Roman" w:eastAsia="宋体" w:cs="Times New Roman"/>
                <w:spacing w:val="-1"/>
                <w:sz w:val="21"/>
                <w:szCs w:val="21"/>
              </w:rPr>
              <w:t>违章操作</w:t>
            </w:r>
            <w:r>
              <w:rPr>
                <w:rFonts w:hint="eastAsia" w:cs="Times New Roman"/>
                <w:spacing w:val="-1"/>
                <w:sz w:val="21"/>
                <w:szCs w:val="21"/>
                <w:lang w:eastAsia="zh-CN"/>
              </w:rPr>
              <w:t>、</w:t>
            </w:r>
            <w:r>
              <w:rPr>
                <w:rFonts w:hint="eastAsia" w:cs="Times New Roman"/>
                <w:spacing w:val="-1"/>
                <w:sz w:val="21"/>
                <w:szCs w:val="21"/>
                <w:lang w:val="en-US" w:eastAsia="zh-CN"/>
              </w:rPr>
              <w:t>带压操作</w:t>
            </w:r>
            <w:r>
              <w:rPr>
                <w:rFonts w:hint="default" w:ascii="Times New Roman" w:hAnsi="Times New Roman" w:eastAsia="宋体" w:cs="Times New Roman"/>
                <w:spacing w:val="-1"/>
                <w:sz w:val="21"/>
                <w:szCs w:val="21"/>
                <w:lang w:eastAsia="zh-CN"/>
              </w:rPr>
              <w:t>；</w:t>
            </w:r>
          </w:p>
          <w:p>
            <w:pPr>
              <w:keepNext w:val="0"/>
              <w:keepLines w:val="0"/>
              <w:widowControl/>
              <w:suppressLineNumbers w:val="0"/>
              <w:overflowPunct w:val="0"/>
              <w:spacing w:before="0" w:beforeAutospacing="0" w:after="0" w:afterAutospacing="0"/>
              <w:ind w:left="0" w:leftChars="0" w:right="0" w:rightChars="0"/>
              <w:jc w:val="left"/>
              <w:rPr>
                <w:rFonts w:hint="eastAsia" w:cs="Times New Roman"/>
                <w:spacing w:val="-1"/>
                <w:sz w:val="21"/>
                <w:szCs w:val="21"/>
                <w:lang w:val="en-US" w:eastAsia="zh-CN"/>
              </w:rPr>
            </w:pPr>
            <w:r>
              <w:rPr>
                <w:rFonts w:hint="default" w:ascii="Times New Roman" w:hAnsi="Times New Roman" w:cs="Times New Roman"/>
                <w:spacing w:val="-1"/>
                <w:sz w:val="21"/>
                <w:szCs w:val="21"/>
                <w:lang w:val="en-US" w:eastAsia="zh-CN"/>
              </w:rPr>
              <w:t>3.</w:t>
            </w:r>
            <w:r>
              <w:rPr>
                <w:rFonts w:hint="eastAsia" w:cs="Times New Roman"/>
                <w:spacing w:val="-1"/>
                <w:sz w:val="21"/>
                <w:szCs w:val="21"/>
                <w:lang w:val="en-US" w:eastAsia="zh-CN"/>
              </w:rPr>
              <w:t>张紧的钢丝绳、绷绳等抽出伤人；</w:t>
            </w:r>
          </w:p>
          <w:p>
            <w:pPr>
              <w:keepNext w:val="0"/>
              <w:keepLines w:val="0"/>
              <w:widowControl/>
              <w:suppressLineNumbers w:val="0"/>
              <w:overflowPunct w:val="0"/>
              <w:spacing w:before="0" w:beforeAutospacing="0" w:after="0" w:afterAutospacing="0"/>
              <w:ind w:left="0" w:leftChars="0" w:right="0" w:rightChars="0"/>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1"/>
                <w:sz w:val="21"/>
                <w:szCs w:val="21"/>
                <w:lang w:val="en-US" w:eastAsia="zh-CN"/>
              </w:rPr>
              <w:t>4.提升设备进行吊装作业时，造成落物伤人</w:t>
            </w:r>
            <w:r>
              <w:rPr>
                <w:rFonts w:hint="default" w:ascii="Times New Roman" w:hAnsi="Times New Roman" w:eastAsia="宋体" w:cs="Times New Roman"/>
                <w:spacing w:val="-1"/>
                <w:sz w:val="21"/>
                <w:szCs w:val="21"/>
                <w:lang w:val="en-US" w:eastAsia="zh-CN"/>
              </w:rPr>
              <w:t>。</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Ⅱ~Ⅲ</w:t>
            </w:r>
          </w:p>
        </w:tc>
        <w:tc>
          <w:tcPr>
            <w:tcW w:w="3107" w:type="dxa"/>
            <w:noWrap w:val="0"/>
            <w:vAlign w:val="center"/>
          </w:tcPr>
          <w:p>
            <w:pPr>
              <w:keepNext w:val="0"/>
              <w:keepLines w:val="0"/>
              <w:widowControl/>
              <w:numPr>
                <w:ilvl w:val="0"/>
                <w:numId w:val="25"/>
              </w:numPr>
              <w:suppressLineNumbers w:val="0"/>
              <w:overflowPunct w:val="0"/>
              <w:spacing w:before="0" w:beforeAutospacing="0" w:after="0" w:afterAutospacing="0"/>
              <w:ind w:left="0" w:right="0"/>
              <w:jc w:val="both"/>
              <w:rPr>
                <w:rFonts w:hint="default" w:ascii="Times New Roman" w:hAnsi="Times New Roman" w:eastAsia="宋体" w:cs="Times New Roman"/>
                <w:spacing w:val="-17"/>
                <w:sz w:val="21"/>
                <w:szCs w:val="21"/>
                <w:lang w:eastAsia="zh-CN"/>
              </w:rPr>
            </w:pPr>
            <w:r>
              <w:rPr>
                <w:rFonts w:hint="eastAsia" w:ascii="Times New Roman" w:hAnsi="Times New Roman" w:eastAsia="宋体" w:cs="Times New Roman"/>
                <w:spacing w:val="-9"/>
                <w:sz w:val="21"/>
                <w:szCs w:val="21"/>
                <w:lang w:val="en-US" w:eastAsia="zh-CN"/>
              </w:rPr>
              <w:t>加强员工培训，</w:t>
            </w:r>
            <w:r>
              <w:rPr>
                <w:rFonts w:hint="default" w:ascii="Times New Roman" w:hAnsi="Times New Roman" w:eastAsia="宋体" w:cs="Times New Roman"/>
                <w:sz w:val="21"/>
                <w:szCs w:val="21"/>
              </w:rPr>
              <w:t>制定正确的操作规程并严格</w:t>
            </w:r>
            <w:r>
              <w:rPr>
                <w:rFonts w:hint="default" w:ascii="Times New Roman" w:hAnsi="Times New Roman" w:eastAsia="宋体" w:cs="Times New Roman"/>
                <w:spacing w:val="-17"/>
                <w:sz w:val="21"/>
                <w:szCs w:val="21"/>
              </w:rPr>
              <w:t>执行</w:t>
            </w:r>
            <w:r>
              <w:rPr>
                <w:rFonts w:hint="default" w:ascii="Times New Roman" w:hAnsi="Times New Roman" w:eastAsia="宋体" w:cs="Times New Roman"/>
                <w:spacing w:val="-17"/>
                <w:sz w:val="21"/>
                <w:szCs w:val="21"/>
                <w:lang w:eastAsia="zh-CN"/>
              </w:rPr>
              <w:t>；</w:t>
            </w:r>
          </w:p>
          <w:p>
            <w:pPr>
              <w:keepNext w:val="0"/>
              <w:keepLines w:val="0"/>
              <w:widowControl/>
              <w:numPr>
                <w:ilvl w:val="0"/>
                <w:numId w:val="25"/>
              </w:numPr>
              <w:suppressLineNumbers w:val="0"/>
              <w:overflowPunct w:val="0"/>
              <w:spacing w:before="0" w:beforeAutospacing="0" w:after="0" w:afterAutospacing="0"/>
              <w:ind w:left="0" w:leftChars="0" w:right="0" w:right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pacing w:val="1"/>
                <w:sz w:val="21"/>
                <w:szCs w:val="21"/>
              </w:rPr>
              <w:t>作业时尽量远离转动或发生</w:t>
            </w:r>
            <w:r>
              <w:rPr>
                <w:rFonts w:hint="default" w:ascii="Times New Roman" w:hAnsi="Times New Roman" w:eastAsia="宋体" w:cs="Times New Roman"/>
                <w:spacing w:val="9"/>
                <w:sz w:val="21"/>
                <w:szCs w:val="21"/>
              </w:rPr>
              <w:t xml:space="preserve"> </w:t>
            </w:r>
            <w:r>
              <w:rPr>
                <w:rFonts w:hint="default" w:ascii="Times New Roman" w:hAnsi="Times New Roman" w:eastAsia="宋体" w:cs="Times New Roman"/>
                <w:spacing w:val="-1"/>
                <w:sz w:val="21"/>
                <w:szCs w:val="21"/>
              </w:rPr>
              <w:t>物体打击伤害的部位</w:t>
            </w:r>
            <w:r>
              <w:rPr>
                <w:rFonts w:hint="default" w:ascii="Times New Roman" w:hAnsi="Times New Roman" w:eastAsia="宋体" w:cs="Times New Roman"/>
                <w:spacing w:val="-17"/>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36"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机械伤害</w:t>
            </w:r>
          </w:p>
        </w:tc>
        <w:tc>
          <w:tcPr>
            <w:tcW w:w="2578" w:type="dxa"/>
            <w:tcBorders>
              <w:left w:val="single" w:color="auto" w:sz="4" w:space="0"/>
            </w:tcBorders>
            <w:noWrap w:val="0"/>
            <w:vAlign w:val="center"/>
          </w:tcPr>
          <w:p>
            <w:pPr>
              <w:keepNext w:val="0"/>
              <w:keepLines w:val="0"/>
              <w:widowControl/>
              <w:numPr>
                <w:ilvl w:val="0"/>
                <w:numId w:val="26"/>
              </w:numPr>
              <w:suppressLineNumbers w:val="0"/>
              <w:overflowPunct w:val="0"/>
              <w:spacing w:before="0" w:beforeAutospacing="0" w:after="0" w:afterAutospacing="0"/>
              <w:ind w:left="0" w:leftChars="0" w:right="0" w:rightChars="0"/>
              <w:jc w:val="left"/>
              <w:rPr>
                <w:rFonts w:hint="eastAsia" w:cs="Times New Roman"/>
                <w:spacing w:val="-9"/>
                <w:sz w:val="21"/>
                <w:szCs w:val="21"/>
                <w:lang w:val="en-US" w:eastAsia="zh-CN"/>
              </w:rPr>
            </w:pPr>
            <w:r>
              <w:rPr>
                <w:rFonts w:hint="default" w:ascii="Times New Roman" w:hAnsi="Times New Roman" w:eastAsia="宋体" w:cs="Times New Roman"/>
                <w:spacing w:val="-9"/>
                <w:sz w:val="21"/>
                <w:szCs w:val="21"/>
              </w:rPr>
              <w:t>设</w:t>
            </w:r>
            <w:r>
              <w:rPr>
                <w:rFonts w:hint="default" w:ascii="Times New Roman" w:hAnsi="Times New Roman" w:eastAsia="宋体" w:cs="Times New Roman"/>
                <w:spacing w:val="-51"/>
                <w:sz w:val="21"/>
                <w:szCs w:val="21"/>
              </w:rPr>
              <w:t xml:space="preserve"> </w:t>
            </w:r>
            <w:r>
              <w:rPr>
                <w:rFonts w:hint="default" w:ascii="Times New Roman" w:hAnsi="Times New Roman" w:eastAsia="宋体" w:cs="Times New Roman"/>
                <w:spacing w:val="-9"/>
                <w:sz w:val="21"/>
                <w:szCs w:val="21"/>
              </w:rPr>
              <w:t>备</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pacing w:val="-9"/>
                <w:sz w:val="21"/>
                <w:szCs w:val="21"/>
              </w:rPr>
              <w:t>转</w:t>
            </w:r>
            <w:r>
              <w:rPr>
                <w:rFonts w:hint="default" w:ascii="Times New Roman" w:hAnsi="Times New Roman" w:eastAsia="宋体" w:cs="Times New Roman"/>
                <w:spacing w:val="-61"/>
                <w:sz w:val="21"/>
                <w:szCs w:val="21"/>
              </w:rPr>
              <w:t xml:space="preserve"> </w:t>
            </w:r>
            <w:r>
              <w:rPr>
                <w:rFonts w:hint="default" w:ascii="Times New Roman" w:hAnsi="Times New Roman" w:eastAsia="宋体" w:cs="Times New Roman"/>
                <w:spacing w:val="-9"/>
                <w:sz w:val="21"/>
                <w:szCs w:val="21"/>
              </w:rPr>
              <w:t>动</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9"/>
                <w:sz w:val="21"/>
                <w:szCs w:val="21"/>
              </w:rPr>
              <w:t>部</w:t>
            </w:r>
            <w:r>
              <w:rPr>
                <w:rFonts w:hint="default" w:ascii="Times New Roman" w:hAnsi="Times New Roman" w:eastAsia="宋体" w:cs="Times New Roman"/>
                <w:spacing w:val="-58"/>
                <w:sz w:val="21"/>
                <w:szCs w:val="21"/>
              </w:rPr>
              <w:t xml:space="preserve"> </w:t>
            </w:r>
            <w:r>
              <w:rPr>
                <w:rFonts w:hint="default" w:ascii="Times New Roman" w:hAnsi="Times New Roman" w:eastAsia="宋体" w:cs="Times New Roman"/>
                <w:spacing w:val="-9"/>
                <w:sz w:val="21"/>
                <w:szCs w:val="21"/>
              </w:rPr>
              <w:t>位</w:t>
            </w:r>
            <w:r>
              <w:rPr>
                <w:rFonts w:hint="default" w:ascii="Times New Roman" w:hAnsi="Times New Roman" w:eastAsia="宋体" w:cs="Times New Roman"/>
                <w:spacing w:val="-61"/>
                <w:sz w:val="21"/>
                <w:szCs w:val="21"/>
              </w:rPr>
              <w:t xml:space="preserve"> </w:t>
            </w:r>
            <w:r>
              <w:rPr>
                <w:rFonts w:hint="eastAsia" w:cs="Times New Roman"/>
                <w:spacing w:val="-9"/>
                <w:sz w:val="21"/>
                <w:szCs w:val="21"/>
                <w:lang w:val="en-US" w:eastAsia="zh-CN"/>
              </w:rPr>
              <w:t>外露；</w:t>
            </w:r>
          </w:p>
          <w:p>
            <w:pPr>
              <w:keepNext w:val="0"/>
              <w:keepLines w:val="0"/>
              <w:widowControl/>
              <w:numPr>
                <w:ilvl w:val="0"/>
                <w:numId w:val="26"/>
              </w:numPr>
              <w:suppressLineNumbers w:val="0"/>
              <w:overflowPunct w:val="0"/>
              <w:spacing w:before="0" w:beforeAutospacing="0" w:after="0" w:afterAutospacing="0"/>
              <w:ind w:left="0" w:leftChars="0" w:right="0" w:rightChars="0"/>
              <w:jc w:val="left"/>
              <w:rPr>
                <w:rFonts w:hint="eastAsia" w:ascii="Times New Roman" w:hAnsi="Times New Roman" w:eastAsia="宋体" w:cs="Times New Roman"/>
                <w:kern w:val="0"/>
                <w:sz w:val="21"/>
                <w:szCs w:val="21"/>
                <w:lang w:val="en-US" w:eastAsia="zh-CN" w:bidi="ar-SA"/>
              </w:rPr>
            </w:pPr>
            <w:r>
              <w:rPr>
                <w:rFonts w:hint="eastAsia" w:cs="Times New Roman"/>
                <w:spacing w:val="-11"/>
                <w:sz w:val="21"/>
                <w:szCs w:val="21"/>
                <w:lang w:val="en-US" w:eastAsia="zh-CN"/>
              </w:rPr>
              <w:t>员工违章作业</w:t>
            </w:r>
            <w:r>
              <w:rPr>
                <w:rFonts w:hint="default" w:ascii="Times New Roman" w:hAnsi="Times New Roman" w:eastAsia="宋体" w:cs="Times New Roman"/>
                <w:spacing w:val="-11"/>
                <w:sz w:val="21"/>
                <w:szCs w:val="21"/>
                <w:lang w:eastAsia="zh-CN"/>
              </w:rPr>
              <w:t>。</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人员伤害</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Ⅱ</w:t>
            </w:r>
          </w:p>
        </w:tc>
        <w:tc>
          <w:tcPr>
            <w:tcW w:w="3107" w:type="dxa"/>
            <w:noWrap w:val="0"/>
            <w:vAlign w:val="center"/>
          </w:tcPr>
          <w:p>
            <w:pPr>
              <w:keepNext w:val="0"/>
              <w:keepLines w:val="0"/>
              <w:widowControl/>
              <w:numPr>
                <w:ilvl w:val="0"/>
                <w:numId w:val="27"/>
              </w:numPr>
              <w:suppressLineNumbers w:val="0"/>
              <w:overflowPunct w:val="0"/>
              <w:spacing w:before="0" w:beforeAutospacing="0" w:after="0" w:afterAutospacing="0"/>
              <w:ind w:left="0" w:leftChars="0" w:right="0" w:rightChars="0"/>
              <w:jc w:val="both"/>
              <w:rPr>
                <w:rFonts w:hint="eastAsia" w:cs="Times New Roman"/>
                <w:spacing w:val="1"/>
                <w:sz w:val="21"/>
                <w:szCs w:val="21"/>
                <w:lang w:eastAsia="zh-CN"/>
              </w:rPr>
            </w:pPr>
            <w:r>
              <w:rPr>
                <w:rFonts w:hint="eastAsia" w:ascii="Times New Roman" w:hAnsi="Times New Roman" w:eastAsia="宋体" w:cs="Times New Roman"/>
                <w:spacing w:val="-9"/>
                <w:sz w:val="21"/>
                <w:szCs w:val="21"/>
                <w:lang w:val="en-US" w:eastAsia="zh-CN"/>
              </w:rPr>
              <w:t>加强员工培训，严禁违章作业</w:t>
            </w:r>
            <w:r>
              <w:rPr>
                <w:rFonts w:hint="eastAsia" w:cs="Times New Roman"/>
                <w:spacing w:val="1"/>
                <w:sz w:val="21"/>
                <w:szCs w:val="21"/>
                <w:lang w:eastAsia="zh-CN"/>
              </w:rPr>
              <w:t>；</w:t>
            </w:r>
          </w:p>
          <w:p>
            <w:pPr>
              <w:keepNext w:val="0"/>
              <w:keepLines w:val="0"/>
              <w:widowControl/>
              <w:numPr>
                <w:ilvl w:val="0"/>
                <w:numId w:val="27"/>
              </w:numPr>
              <w:suppressLineNumbers w:val="0"/>
              <w:overflowPunct w:val="0"/>
              <w:spacing w:before="0" w:beforeAutospacing="0" w:after="0" w:afterAutospacing="0"/>
              <w:ind w:left="0" w:leftChars="0" w:right="0" w:rightChars="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pacing w:val="1"/>
                <w:sz w:val="21"/>
                <w:szCs w:val="21"/>
              </w:rPr>
              <w:t>设备旋转部位安装固定好护罩</w:t>
            </w:r>
            <w:r>
              <w:rPr>
                <w:rFonts w:hint="default" w:ascii="Times New Roman" w:hAnsi="Times New Roman" w:eastAsia="宋体" w:cs="Times New Roman"/>
                <w:spacing w:val="1"/>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6</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触电</w:t>
            </w:r>
          </w:p>
        </w:tc>
        <w:tc>
          <w:tcPr>
            <w:tcW w:w="2578" w:type="dxa"/>
            <w:tcBorders>
              <w:left w:val="single" w:color="auto" w:sz="4" w:space="0"/>
            </w:tcBorders>
            <w:noWrap w:val="0"/>
            <w:vAlign w:val="center"/>
          </w:tcPr>
          <w:p>
            <w:pPr>
              <w:keepNext w:val="0"/>
              <w:keepLines w:val="0"/>
              <w:widowControl/>
              <w:numPr>
                <w:ilvl w:val="0"/>
                <w:numId w:val="28"/>
              </w:numPr>
              <w:suppressLineNumbers w:val="0"/>
              <w:overflowPunct w:val="0"/>
              <w:spacing w:before="0" w:beforeAutospacing="0" w:after="0" w:afterAutospacing="0"/>
              <w:ind w:left="0" w:right="0"/>
              <w:jc w:val="left"/>
              <w:rPr>
                <w:rFonts w:hint="default" w:ascii="Times New Roman" w:hAnsi="Times New Roman" w:eastAsia="宋体" w:cs="Times New Roman"/>
                <w:spacing w:val="-8"/>
                <w:sz w:val="21"/>
                <w:szCs w:val="21"/>
                <w:lang w:eastAsia="zh-CN"/>
              </w:rPr>
            </w:pPr>
            <w:r>
              <w:rPr>
                <w:rFonts w:hint="default" w:ascii="Times New Roman" w:hAnsi="Times New Roman" w:eastAsia="宋体" w:cs="Times New Roman"/>
                <w:spacing w:val="-8"/>
                <w:sz w:val="21"/>
                <w:szCs w:val="21"/>
              </w:rPr>
              <w:t>电气绝缘性能差</w:t>
            </w:r>
            <w:r>
              <w:rPr>
                <w:rFonts w:hint="default" w:ascii="Times New Roman" w:hAnsi="Times New Roman" w:eastAsia="宋体" w:cs="Times New Roman"/>
                <w:spacing w:val="-8"/>
                <w:sz w:val="21"/>
                <w:szCs w:val="21"/>
                <w:lang w:eastAsia="zh-CN"/>
              </w:rPr>
              <w:t>；</w:t>
            </w:r>
          </w:p>
          <w:p>
            <w:pPr>
              <w:keepNext w:val="0"/>
              <w:keepLines w:val="0"/>
              <w:widowControl/>
              <w:numPr>
                <w:ilvl w:val="0"/>
                <w:numId w:val="28"/>
              </w:numPr>
              <w:suppressLineNumbers w:val="0"/>
              <w:overflowPunct w:val="0"/>
              <w:spacing w:before="0" w:beforeAutospacing="0" w:after="0" w:afterAutospacing="0"/>
              <w:ind w:left="0" w:right="0"/>
              <w:jc w:val="left"/>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设备选型、线路设计不合理</w:t>
            </w:r>
            <w:r>
              <w:rPr>
                <w:rFonts w:hint="default" w:ascii="Times New Roman" w:hAnsi="Times New Roman" w:eastAsia="宋体" w:cs="Times New Roman"/>
                <w:spacing w:val="-8"/>
                <w:sz w:val="21"/>
                <w:szCs w:val="21"/>
                <w:lang w:eastAsia="zh-CN"/>
              </w:rPr>
              <w:t>；</w:t>
            </w:r>
          </w:p>
          <w:p>
            <w:pPr>
              <w:keepNext w:val="0"/>
              <w:keepLines w:val="0"/>
              <w:widowControl/>
              <w:numPr>
                <w:ilvl w:val="0"/>
                <w:numId w:val="28"/>
              </w:numPr>
              <w:suppressLineNumbers w:val="0"/>
              <w:overflowPunct w:val="0"/>
              <w:spacing w:before="0" w:beforeAutospacing="0" w:after="0" w:afterAutospacing="0"/>
              <w:ind w:left="0" w:right="0"/>
              <w:jc w:val="left"/>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电气设备没有良好接地，未安装漏电保护</w:t>
            </w:r>
            <w:r>
              <w:rPr>
                <w:rFonts w:hint="default" w:ascii="Times New Roman" w:hAnsi="Times New Roman" w:eastAsia="宋体" w:cs="Times New Roman"/>
                <w:spacing w:val="-8"/>
                <w:sz w:val="21"/>
                <w:szCs w:val="21"/>
                <w:lang w:eastAsia="zh-CN"/>
              </w:rPr>
              <w:t>；</w:t>
            </w:r>
          </w:p>
          <w:p>
            <w:pPr>
              <w:keepNext w:val="0"/>
              <w:keepLines w:val="0"/>
              <w:widowControl/>
              <w:numPr>
                <w:ilvl w:val="0"/>
                <w:numId w:val="28"/>
              </w:numPr>
              <w:suppressLineNumbers w:val="0"/>
              <w:overflowPunct w:val="0"/>
              <w:spacing w:before="0" w:beforeAutospacing="0" w:after="0" w:afterAutospacing="0"/>
              <w:ind w:left="0" w:right="0"/>
              <w:jc w:val="left"/>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电气设备或线路破损裸露</w:t>
            </w:r>
            <w:r>
              <w:rPr>
                <w:rFonts w:hint="default" w:ascii="Times New Roman" w:hAnsi="Times New Roman" w:eastAsia="宋体" w:cs="Times New Roman"/>
                <w:spacing w:val="-8"/>
                <w:sz w:val="21"/>
                <w:szCs w:val="21"/>
                <w:lang w:eastAsia="zh-CN"/>
              </w:rPr>
              <w:t>；</w:t>
            </w:r>
          </w:p>
          <w:p>
            <w:pPr>
              <w:keepNext w:val="0"/>
              <w:keepLines w:val="0"/>
              <w:widowControl/>
              <w:numPr>
                <w:ilvl w:val="0"/>
                <w:numId w:val="28"/>
              </w:numPr>
              <w:suppressLineNumbers w:val="0"/>
              <w:overflowPunct w:val="0"/>
              <w:spacing w:before="0" w:beforeAutospacing="0" w:after="0" w:afterAutospacing="0"/>
              <w:ind w:left="0" w:right="0"/>
              <w:jc w:val="left"/>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违章操作</w:t>
            </w:r>
            <w:r>
              <w:rPr>
                <w:rFonts w:hint="default" w:ascii="Times New Roman" w:hAnsi="Times New Roman" w:eastAsia="宋体" w:cs="Times New Roman"/>
                <w:spacing w:val="-8"/>
                <w:sz w:val="21"/>
                <w:szCs w:val="21"/>
                <w:lang w:eastAsia="zh-CN"/>
              </w:rPr>
              <w:t>；</w:t>
            </w:r>
          </w:p>
          <w:p>
            <w:pPr>
              <w:keepNext w:val="0"/>
              <w:keepLines w:val="0"/>
              <w:widowControl/>
              <w:numPr>
                <w:ilvl w:val="0"/>
                <w:numId w:val="28"/>
              </w:numPr>
              <w:suppressLineNumbers w:val="0"/>
              <w:overflowPunct w:val="0"/>
              <w:spacing w:before="0" w:beforeAutospacing="0" w:after="0" w:afterAutospacing="0"/>
              <w:ind w:left="0" w:right="0"/>
              <w:jc w:val="left"/>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pacing w:val="-8"/>
                <w:sz w:val="21"/>
                <w:szCs w:val="21"/>
              </w:rPr>
              <w:t>无警示标志</w:t>
            </w:r>
            <w:r>
              <w:rPr>
                <w:rFonts w:hint="default" w:ascii="Times New Roman" w:hAnsi="Times New Roman" w:eastAsia="宋体" w:cs="Times New Roman"/>
                <w:spacing w:val="-8"/>
                <w:sz w:val="21"/>
                <w:szCs w:val="21"/>
                <w:lang w:eastAsia="zh-CN"/>
              </w:rPr>
              <w:t>。</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Ⅱ~Ⅲ</w:t>
            </w:r>
          </w:p>
        </w:tc>
        <w:tc>
          <w:tcPr>
            <w:tcW w:w="3107" w:type="dxa"/>
            <w:noWrap w:val="0"/>
            <w:vAlign w:val="center"/>
          </w:tcPr>
          <w:p>
            <w:pPr>
              <w:keepNext w:val="0"/>
              <w:keepLines w:val="0"/>
              <w:widowControl/>
              <w:numPr>
                <w:ilvl w:val="0"/>
                <w:numId w:val="29"/>
              </w:numPr>
              <w:suppressLineNumbers w:val="0"/>
              <w:overflowPunct w:val="0"/>
              <w:spacing w:before="0" w:beforeAutospacing="0" w:after="0" w:afterAutospacing="0"/>
              <w:ind w:left="0" w:right="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选用</w:t>
            </w:r>
            <w:r>
              <w:rPr>
                <w:rFonts w:hint="default" w:ascii="Times New Roman" w:hAnsi="Times New Roman" w:cs="Times New Roman"/>
                <w:sz w:val="21"/>
                <w:szCs w:val="21"/>
                <w:lang w:val="en-US" w:eastAsia="zh-CN"/>
              </w:rPr>
              <w:t>质量</w:t>
            </w:r>
            <w:r>
              <w:rPr>
                <w:rFonts w:hint="default" w:ascii="Times New Roman" w:hAnsi="Times New Roman" w:eastAsia="宋体" w:cs="Times New Roman"/>
                <w:sz w:val="21"/>
                <w:szCs w:val="21"/>
              </w:rPr>
              <w:t>合格的电气设备</w:t>
            </w:r>
            <w:r>
              <w:rPr>
                <w:rFonts w:hint="default" w:ascii="Times New Roman" w:hAnsi="Times New Roman" w:eastAsia="宋体" w:cs="Times New Roman"/>
                <w:sz w:val="21"/>
                <w:szCs w:val="21"/>
                <w:lang w:eastAsia="zh-CN"/>
              </w:rPr>
              <w:t>；</w:t>
            </w:r>
          </w:p>
          <w:p>
            <w:pPr>
              <w:keepNext w:val="0"/>
              <w:keepLines w:val="0"/>
              <w:widowControl/>
              <w:numPr>
                <w:ilvl w:val="0"/>
                <w:numId w:val="29"/>
              </w:numPr>
              <w:suppressLineNumbers w:val="0"/>
              <w:overflowPunct w:val="0"/>
              <w:spacing w:before="0" w:beforeAutospacing="0" w:after="0" w:afterAutospacing="0"/>
              <w:ind w:left="0" w:right="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设备、线路等进行合理设计</w:t>
            </w:r>
            <w:r>
              <w:rPr>
                <w:rFonts w:hint="default" w:ascii="Times New Roman" w:hAnsi="Times New Roman" w:eastAsia="宋体" w:cs="Times New Roman"/>
                <w:sz w:val="21"/>
                <w:szCs w:val="21"/>
                <w:lang w:eastAsia="zh-CN"/>
              </w:rPr>
              <w:t>；</w:t>
            </w:r>
          </w:p>
          <w:p>
            <w:pPr>
              <w:keepNext w:val="0"/>
              <w:keepLines w:val="0"/>
              <w:widowControl/>
              <w:numPr>
                <w:ilvl w:val="0"/>
                <w:numId w:val="29"/>
              </w:numPr>
              <w:suppressLineNumbers w:val="0"/>
              <w:overflowPunct w:val="0"/>
              <w:spacing w:before="0" w:beforeAutospacing="0" w:after="0" w:afterAutospacing="0"/>
              <w:ind w:left="0" w:right="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 所有用电设备必须良好接地，安装漏电保护器</w:t>
            </w:r>
            <w:r>
              <w:rPr>
                <w:rFonts w:hint="default" w:ascii="Times New Roman" w:hAnsi="Times New Roman" w:eastAsia="宋体" w:cs="Times New Roman"/>
                <w:sz w:val="21"/>
                <w:szCs w:val="21"/>
                <w:lang w:eastAsia="zh-CN"/>
              </w:rPr>
              <w:t>；</w:t>
            </w:r>
          </w:p>
          <w:p>
            <w:pPr>
              <w:keepNext w:val="0"/>
              <w:keepLines w:val="0"/>
              <w:widowControl/>
              <w:numPr>
                <w:ilvl w:val="0"/>
                <w:numId w:val="29"/>
              </w:numPr>
              <w:suppressLineNumbers w:val="0"/>
              <w:overflowPunct w:val="0"/>
              <w:spacing w:before="0" w:beforeAutospacing="0" w:after="0" w:afterAutospacing="0"/>
              <w:ind w:left="0" w:right="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定期对电气线路进行检维 修</w:t>
            </w:r>
            <w:r>
              <w:rPr>
                <w:rFonts w:hint="default" w:ascii="Times New Roman" w:hAnsi="Times New Roman" w:eastAsia="宋体" w:cs="Times New Roman"/>
                <w:sz w:val="21"/>
                <w:szCs w:val="21"/>
                <w:lang w:eastAsia="zh-CN"/>
              </w:rPr>
              <w:t>；</w:t>
            </w:r>
          </w:p>
          <w:p>
            <w:pPr>
              <w:keepNext w:val="0"/>
              <w:keepLines w:val="0"/>
              <w:widowControl/>
              <w:numPr>
                <w:ilvl w:val="0"/>
                <w:numId w:val="29"/>
              </w:numPr>
              <w:suppressLineNumbers w:val="0"/>
              <w:overflowPunct w:val="0"/>
              <w:spacing w:before="0" w:beforeAutospacing="0" w:after="0" w:afterAutospacing="0"/>
              <w:ind w:left="0" w:right="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严禁违章操作，电气检修要 挂牌，并在操作时有人监护， 严格操作规程等</w:t>
            </w:r>
            <w:r>
              <w:rPr>
                <w:rFonts w:hint="default" w:ascii="Times New Roman" w:hAnsi="Times New Roman" w:eastAsia="宋体" w:cs="Times New Roman"/>
                <w:sz w:val="21"/>
                <w:szCs w:val="21"/>
                <w:lang w:eastAsia="zh-CN"/>
              </w:rPr>
              <w:t>；</w:t>
            </w:r>
          </w:p>
          <w:p>
            <w:pPr>
              <w:keepNext w:val="0"/>
              <w:keepLines w:val="0"/>
              <w:widowControl/>
              <w:numPr>
                <w:ilvl w:val="0"/>
                <w:numId w:val="29"/>
              </w:numPr>
              <w:suppressLineNumbers w:val="0"/>
              <w:overflowPunct w:val="0"/>
              <w:spacing w:before="0" w:beforeAutospacing="0" w:after="0" w:afterAutospacing="0"/>
              <w:ind w:left="0" w:right="0"/>
              <w:jc w:val="both"/>
              <w:rPr>
                <w:rFonts w:hint="default" w:ascii="Times New Roman" w:hAnsi="Times New Roman" w:eastAsia="宋体" w:cs="Times New Roman"/>
                <w:kern w:val="0"/>
                <w:szCs w:val="21"/>
                <w:lang w:val="en-US" w:eastAsia="zh-CN"/>
              </w:rPr>
            </w:pPr>
            <w:r>
              <w:rPr>
                <w:rFonts w:hint="default" w:ascii="Times New Roman" w:hAnsi="Times New Roman" w:eastAsia="宋体" w:cs="Times New Roman"/>
                <w:sz w:val="21"/>
                <w:szCs w:val="21"/>
              </w:rPr>
              <w:t>设置明显的警示标志</w:t>
            </w:r>
            <w:r>
              <w:rPr>
                <w:rFonts w:hint="default" w:ascii="Times New Roman" w:hAnsi="Times New Roman" w:eastAsia="宋体" w:cs="Times New Roman"/>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7</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车辆伤害</w:t>
            </w:r>
          </w:p>
        </w:tc>
        <w:tc>
          <w:tcPr>
            <w:tcW w:w="2578" w:type="dxa"/>
            <w:tcBorders>
              <w:left w:val="single" w:color="auto" w:sz="4" w:space="0"/>
            </w:tcBorders>
            <w:noWrap w:val="0"/>
            <w:vAlign w:val="center"/>
          </w:tcPr>
          <w:p>
            <w:pPr>
              <w:keepNext w:val="0"/>
              <w:keepLines w:val="0"/>
              <w:widowControl/>
              <w:numPr>
                <w:ilvl w:val="0"/>
                <w:numId w:val="30"/>
              </w:numPr>
              <w:suppressLineNumbers w:val="0"/>
              <w:overflowPunct w:val="0"/>
              <w:spacing w:before="0" w:beforeAutospacing="0" w:after="0" w:afterAutospacing="0"/>
              <w:ind w:left="0" w:leftChars="0" w:right="0" w:rightChars="0"/>
              <w:jc w:val="left"/>
              <w:rPr>
                <w:rFonts w:hint="eastAsia" w:cs="Times New Roman"/>
                <w:spacing w:val="-8"/>
                <w:sz w:val="21"/>
                <w:szCs w:val="21"/>
                <w:lang w:val="en-US" w:eastAsia="zh-CN"/>
              </w:rPr>
            </w:pPr>
            <w:r>
              <w:rPr>
                <w:rFonts w:hint="default" w:ascii="Times New Roman" w:hAnsi="Times New Roman" w:eastAsia="宋体" w:cs="Times New Roman"/>
                <w:spacing w:val="-8"/>
                <w:sz w:val="21"/>
                <w:szCs w:val="21"/>
              </w:rPr>
              <w:t>车辆</w:t>
            </w:r>
            <w:r>
              <w:rPr>
                <w:rFonts w:hint="eastAsia" w:cs="Times New Roman"/>
                <w:spacing w:val="-8"/>
                <w:sz w:val="21"/>
                <w:szCs w:val="21"/>
                <w:lang w:val="en-US" w:eastAsia="zh-CN"/>
              </w:rPr>
              <w:t>故障、视野不良、路面状况不良；</w:t>
            </w:r>
          </w:p>
          <w:p>
            <w:pPr>
              <w:keepNext w:val="0"/>
              <w:keepLines w:val="0"/>
              <w:widowControl/>
              <w:numPr>
                <w:ilvl w:val="0"/>
                <w:numId w:val="30"/>
              </w:numPr>
              <w:suppressLineNumbers w:val="0"/>
              <w:overflowPunct w:val="0"/>
              <w:spacing w:before="0" w:beforeAutospacing="0" w:after="0" w:afterAutospacing="0"/>
              <w:ind w:left="0" w:leftChars="0" w:right="0" w:rightChars="0"/>
              <w:jc w:val="left"/>
              <w:rPr>
                <w:rFonts w:hint="default" w:ascii="Times New Roman" w:hAnsi="Times New Roman" w:eastAsia="宋体" w:cs="Times New Roman"/>
                <w:kern w:val="0"/>
                <w:sz w:val="21"/>
                <w:szCs w:val="21"/>
                <w:lang w:val="en-US" w:eastAsia="zh-CN" w:bidi="ar-SA"/>
              </w:rPr>
            </w:pPr>
            <w:r>
              <w:rPr>
                <w:rFonts w:hint="eastAsia" w:cs="Times New Roman"/>
                <w:spacing w:val="-1"/>
                <w:sz w:val="21"/>
                <w:szCs w:val="21"/>
                <w:lang w:val="en-US" w:eastAsia="zh-CN"/>
              </w:rPr>
              <w:t>司机无证驾驶</w:t>
            </w:r>
            <w:r>
              <w:rPr>
                <w:rFonts w:hint="default" w:ascii="Times New Roman" w:hAnsi="Times New Roman" w:eastAsia="宋体" w:cs="Times New Roman"/>
                <w:spacing w:val="-1"/>
                <w:sz w:val="21"/>
                <w:szCs w:val="21"/>
              </w:rPr>
              <w:t>，</w:t>
            </w:r>
            <w:r>
              <w:rPr>
                <w:rFonts w:hint="eastAsia" w:cs="Times New Roman"/>
                <w:spacing w:val="-1"/>
                <w:sz w:val="21"/>
                <w:szCs w:val="21"/>
                <w:lang w:val="en-US" w:eastAsia="zh-CN"/>
              </w:rPr>
              <w:t>操作失误或违章</w:t>
            </w:r>
            <w:r>
              <w:rPr>
                <w:rFonts w:hint="default" w:ascii="Times New Roman" w:hAnsi="Times New Roman" w:eastAsia="宋体" w:cs="Times New Roman"/>
                <w:spacing w:val="-1"/>
                <w:sz w:val="21"/>
                <w:szCs w:val="21"/>
                <w:lang w:eastAsia="zh-CN"/>
              </w:rPr>
              <w:t>。</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Ⅱ~Ⅲ</w:t>
            </w:r>
          </w:p>
        </w:tc>
        <w:tc>
          <w:tcPr>
            <w:tcW w:w="3107" w:type="dxa"/>
            <w:noWrap w:val="0"/>
            <w:vAlign w:val="center"/>
          </w:tcPr>
          <w:p>
            <w:pPr>
              <w:keepNext w:val="0"/>
              <w:keepLines w:val="0"/>
              <w:widowControl/>
              <w:numPr>
                <w:ilvl w:val="0"/>
                <w:numId w:val="31"/>
              </w:numPr>
              <w:suppressLineNumbers w:val="0"/>
              <w:overflowPunct w:val="0"/>
              <w:spacing w:before="0" w:beforeAutospacing="0" w:after="0" w:afterAutospacing="0"/>
              <w:ind w:left="0" w:leftChars="0" w:right="0" w:rightChars="0"/>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9"/>
                <w:sz w:val="21"/>
                <w:szCs w:val="21"/>
                <w:lang w:val="en-US" w:eastAsia="zh-CN"/>
              </w:rPr>
              <w:t>加强员工培训，严禁违章作业</w:t>
            </w:r>
            <w:r>
              <w:rPr>
                <w:rFonts w:hint="eastAsia" w:cs="Times New Roman"/>
                <w:spacing w:val="1"/>
                <w:sz w:val="21"/>
                <w:szCs w:val="21"/>
                <w:lang w:eastAsia="zh-CN"/>
              </w:rPr>
              <w:t>；</w:t>
            </w:r>
          </w:p>
          <w:p>
            <w:pPr>
              <w:keepNext w:val="0"/>
              <w:keepLines w:val="0"/>
              <w:widowControl/>
              <w:numPr>
                <w:ilvl w:val="0"/>
                <w:numId w:val="31"/>
              </w:numPr>
              <w:suppressLineNumbers w:val="0"/>
              <w:overflowPunct w:val="0"/>
              <w:spacing w:before="0" w:beforeAutospacing="0" w:after="0" w:afterAutospacing="0"/>
              <w:ind w:left="0" w:leftChars="0" w:right="0" w:rightChars="0"/>
              <w:jc w:val="both"/>
              <w:rPr>
                <w:rFonts w:hint="default" w:ascii="Times New Roman" w:hAnsi="Times New Roman" w:eastAsia="宋体" w:cs="Times New Roman"/>
                <w:kern w:val="0"/>
                <w:sz w:val="21"/>
                <w:szCs w:val="21"/>
                <w:lang w:val="en-US" w:eastAsia="zh-CN" w:bidi="ar-SA"/>
              </w:rPr>
            </w:pPr>
            <w:r>
              <w:rPr>
                <w:rFonts w:hint="eastAsia" w:cs="Times New Roman"/>
                <w:spacing w:val="-1"/>
                <w:sz w:val="21"/>
                <w:szCs w:val="21"/>
                <w:lang w:val="en-US" w:eastAsia="zh-CN"/>
              </w:rPr>
              <w:t>司机持证上岗</w:t>
            </w:r>
            <w:r>
              <w:rPr>
                <w:rFonts w:hint="default" w:ascii="Times New Roman" w:hAnsi="Times New Roman" w:eastAsia="宋体" w:cs="Times New Roman"/>
                <w:spacing w:val="-1"/>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8</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起重伤害</w:t>
            </w:r>
          </w:p>
        </w:tc>
        <w:tc>
          <w:tcPr>
            <w:tcW w:w="2578" w:type="dxa"/>
            <w:tcBorders>
              <w:left w:val="single" w:color="auto" w:sz="4" w:space="0"/>
            </w:tcBorders>
            <w:noWrap w:val="0"/>
            <w:vAlign w:val="center"/>
          </w:tcPr>
          <w:p>
            <w:pPr>
              <w:keepNext w:val="0"/>
              <w:keepLines w:val="0"/>
              <w:widowControl/>
              <w:numPr>
                <w:ilvl w:val="0"/>
                <w:numId w:val="32"/>
              </w:numPr>
              <w:suppressLineNumbers w:val="0"/>
              <w:overflowPunct w:val="0"/>
              <w:spacing w:before="0" w:beforeAutospacing="0" w:after="0" w:afterAutospacing="0"/>
              <w:ind w:left="0" w:leftChars="0" w:right="0" w:rightChars="0"/>
              <w:jc w:val="left"/>
              <w:rPr>
                <w:rFonts w:hint="eastAsia" w:cs="Times New Roman"/>
                <w:spacing w:val="-1"/>
                <w:sz w:val="21"/>
                <w:szCs w:val="21"/>
                <w:lang w:val="en-US" w:eastAsia="zh-CN"/>
              </w:rPr>
            </w:pPr>
            <w:r>
              <w:rPr>
                <w:rFonts w:hint="eastAsia" w:cs="Times New Roman"/>
                <w:spacing w:val="-1"/>
                <w:sz w:val="21"/>
                <w:szCs w:val="21"/>
                <w:lang w:val="en-US" w:eastAsia="zh-CN"/>
              </w:rPr>
              <w:t>设备故障，安全防护装置失效；</w:t>
            </w:r>
          </w:p>
          <w:p>
            <w:pPr>
              <w:keepNext w:val="0"/>
              <w:keepLines w:val="0"/>
              <w:widowControl/>
              <w:numPr>
                <w:ilvl w:val="0"/>
                <w:numId w:val="32"/>
              </w:numPr>
              <w:suppressLineNumbers w:val="0"/>
              <w:overflowPunct w:val="0"/>
              <w:spacing w:before="0" w:beforeAutospacing="0" w:after="0" w:afterAutospacing="0"/>
              <w:ind w:left="0" w:leftChars="0" w:right="0" w:right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pacing w:val="-1"/>
                <w:sz w:val="21"/>
                <w:szCs w:val="21"/>
              </w:rPr>
              <w:t>违章作业、违章指挥</w:t>
            </w:r>
            <w:r>
              <w:rPr>
                <w:rFonts w:hint="default" w:ascii="Times New Roman" w:hAnsi="Times New Roman" w:eastAsia="宋体" w:cs="Times New Roman"/>
                <w:spacing w:val="-1"/>
                <w:sz w:val="21"/>
                <w:szCs w:val="21"/>
                <w:lang w:eastAsia="zh-CN"/>
              </w:rPr>
              <w:t>。</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Ⅱ~Ⅲ</w:t>
            </w:r>
          </w:p>
        </w:tc>
        <w:tc>
          <w:tcPr>
            <w:tcW w:w="3107" w:type="dxa"/>
            <w:noWrap w:val="0"/>
            <w:vAlign w:val="center"/>
          </w:tcPr>
          <w:p>
            <w:pPr>
              <w:keepNext w:val="0"/>
              <w:keepLines w:val="0"/>
              <w:widowControl/>
              <w:numPr>
                <w:ilvl w:val="0"/>
                <w:numId w:val="0"/>
              </w:numPr>
              <w:suppressLineNumbers w:val="0"/>
              <w:overflowPunct w:val="0"/>
              <w:spacing w:before="0" w:beforeAutospacing="0" w:after="0" w:afterAutospacing="0"/>
              <w:ind w:left="0" w:right="0" w:rightChars="0"/>
              <w:jc w:val="both"/>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9"/>
                <w:sz w:val="21"/>
                <w:szCs w:val="21"/>
                <w:lang w:val="en-US" w:eastAsia="zh-CN"/>
              </w:rPr>
              <w:t>加强员工培训，</w:t>
            </w:r>
            <w:r>
              <w:rPr>
                <w:rFonts w:hint="default" w:ascii="Times New Roman" w:hAnsi="Times New Roman" w:eastAsia="宋体" w:cs="Times New Roman"/>
                <w:spacing w:val="-13"/>
                <w:sz w:val="21"/>
                <w:szCs w:val="21"/>
              </w:rPr>
              <w:t>严格执行起吊规定，严禁在起</w:t>
            </w:r>
            <w:r>
              <w:rPr>
                <w:rFonts w:hint="default" w:ascii="Times New Roman" w:hAnsi="Times New Roman" w:eastAsia="宋体" w:cs="Times New Roman"/>
                <w:spacing w:val="-5"/>
                <w:sz w:val="21"/>
                <w:szCs w:val="21"/>
              </w:rPr>
              <w:t>吊范围内行走、站立和作业</w:t>
            </w:r>
            <w:r>
              <w:rPr>
                <w:rFonts w:hint="default" w:ascii="Times New Roman" w:hAnsi="Times New Roman" w:eastAsia="宋体" w:cs="Times New Roman"/>
                <w:spacing w:val="-10"/>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9</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高处坠落</w:t>
            </w:r>
          </w:p>
        </w:tc>
        <w:tc>
          <w:tcPr>
            <w:tcW w:w="2578" w:type="dxa"/>
            <w:tcBorders>
              <w:left w:val="single" w:color="auto" w:sz="4" w:space="0"/>
            </w:tcBorders>
            <w:noWrap w:val="0"/>
            <w:vAlign w:val="center"/>
          </w:tcPr>
          <w:p>
            <w:pPr>
              <w:keepNext w:val="0"/>
              <w:keepLines w:val="0"/>
              <w:widowControl/>
              <w:numPr>
                <w:ilvl w:val="0"/>
                <w:numId w:val="33"/>
              </w:numPr>
              <w:suppressLineNumbers w:val="0"/>
              <w:overflowPunct w:val="0"/>
              <w:spacing w:before="0" w:beforeAutospacing="0" w:after="0" w:afterAutospacing="0"/>
              <w:ind w:left="0" w:right="0"/>
              <w:jc w:val="left"/>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登高作业人员未经培训，违章作业；</w:t>
            </w:r>
          </w:p>
          <w:p>
            <w:pPr>
              <w:keepNext w:val="0"/>
              <w:keepLines w:val="0"/>
              <w:widowControl/>
              <w:numPr>
                <w:ilvl w:val="0"/>
                <w:numId w:val="33"/>
              </w:numPr>
              <w:suppressLineNumbers w:val="0"/>
              <w:overflowPunct w:val="0"/>
              <w:spacing w:before="0" w:beforeAutospacing="0" w:after="0" w:afterAutospacing="0"/>
              <w:ind w:left="0" w:right="0"/>
              <w:jc w:val="left"/>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登高防护措施未落实到位。</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Ⅱ~Ⅲ</w:t>
            </w:r>
          </w:p>
        </w:tc>
        <w:tc>
          <w:tcPr>
            <w:tcW w:w="3107" w:type="dxa"/>
            <w:noWrap w:val="0"/>
            <w:vAlign w:val="center"/>
          </w:tcPr>
          <w:p>
            <w:pPr>
              <w:keepNext w:val="0"/>
              <w:keepLines w:val="0"/>
              <w:widowControl/>
              <w:numPr>
                <w:ilvl w:val="0"/>
                <w:numId w:val="0"/>
              </w:numPr>
              <w:suppressLineNumbers w:val="0"/>
              <w:overflowPunct w:val="0"/>
              <w:spacing w:before="0" w:beforeAutospacing="0" w:after="0" w:afterAutospacing="0"/>
              <w:ind w:left="0" w:right="0" w:rightChars="0"/>
              <w:jc w:val="both"/>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spacing w:val="-9"/>
                <w:sz w:val="21"/>
                <w:szCs w:val="21"/>
                <w:lang w:val="en-US" w:eastAsia="zh-CN"/>
              </w:rPr>
              <w:t>加强员工培训，</w:t>
            </w:r>
            <w:r>
              <w:rPr>
                <w:rFonts w:hint="eastAsia" w:cs="Times New Roman"/>
                <w:spacing w:val="-9"/>
                <w:sz w:val="21"/>
                <w:szCs w:val="21"/>
                <w:lang w:val="en-US" w:eastAsia="zh-CN"/>
              </w:rPr>
              <w:t>严格执行登高作业规程，严禁违章作业，持证上岗。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10</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坍塌</w:t>
            </w:r>
          </w:p>
        </w:tc>
        <w:tc>
          <w:tcPr>
            <w:tcW w:w="2578"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left"/>
              <w:rPr>
                <w:rFonts w:hint="default" w:ascii="Times New Roman" w:hAnsi="Times New Roman" w:eastAsia="宋体" w:cs="Times New Roman"/>
                <w:kern w:val="0"/>
                <w:szCs w:val="21"/>
                <w:lang w:val="en-US" w:eastAsia="zh-CN"/>
              </w:rPr>
            </w:pPr>
            <w:r>
              <w:rPr>
                <w:rFonts w:hint="eastAsia" w:ascii="Times New Roman" w:hAnsi="Times New Roman" w:cs="Times New Roman"/>
                <w:kern w:val="0"/>
                <w:szCs w:val="21"/>
                <w:lang w:val="en-US" w:eastAsia="zh-CN"/>
              </w:rPr>
              <w:t>井架质量或安装不合格，施工人员上井作业发生事故。</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人员伤亡</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Ⅱ~Ⅲ</w:t>
            </w:r>
          </w:p>
        </w:tc>
        <w:tc>
          <w:tcPr>
            <w:tcW w:w="3107" w:type="dxa"/>
            <w:noWrap w:val="0"/>
            <w:vAlign w:val="center"/>
          </w:tcPr>
          <w:p>
            <w:pPr>
              <w:keepNext w:val="0"/>
              <w:keepLines w:val="0"/>
              <w:widowControl/>
              <w:numPr>
                <w:ilvl w:val="0"/>
                <w:numId w:val="0"/>
              </w:numPr>
              <w:suppressLineNumbers w:val="0"/>
              <w:overflowPunct w:val="0"/>
              <w:spacing w:before="0" w:beforeAutospacing="0" w:after="0" w:afterAutospacing="0"/>
              <w:ind w:left="0" w:right="0" w:rightChars="0"/>
              <w:jc w:val="both"/>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spacing w:val="-9"/>
                <w:sz w:val="21"/>
                <w:szCs w:val="21"/>
                <w:lang w:val="en-US" w:eastAsia="zh-CN"/>
              </w:rPr>
              <w:t>加强员工培训，严禁违章作业</w:t>
            </w:r>
            <w:r>
              <w:rPr>
                <w:rFonts w:hint="eastAsia" w:cs="Times New Roman"/>
                <w:spacing w:val="1"/>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rPr>
        <w:tc>
          <w:tcPr>
            <w:tcW w:w="629" w:type="dxa"/>
            <w:noWrap w:val="0"/>
            <w:vAlign w:val="center"/>
          </w:tcPr>
          <w:p>
            <w:pPr>
              <w:keepNext w:val="0"/>
              <w:keepLines w:val="0"/>
              <w:widowControl/>
              <w:numPr>
                <w:ilvl w:val="0"/>
                <w:numId w:val="0"/>
              </w:numPr>
              <w:suppressLineNumbers w:val="0"/>
              <w:overflowPunct w:val="0"/>
              <w:spacing w:before="0" w:beforeAutospacing="0" w:after="0" w:afterAutospacing="0"/>
              <w:ind w:left="0" w:leftChars="0" w:right="0" w:rightChars="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11</w:t>
            </w:r>
          </w:p>
        </w:tc>
        <w:tc>
          <w:tcPr>
            <w:tcW w:w="73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right="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噪声与振动危害</w:t>
            </w:r>
          </w:p>
        </w:tc>
        <w:tc>
          <w:tcPr>
            <w:tcW w:w="2578" w:type="dxa"/>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rPr>
                <w:rFonts w:hint="eastAsia"/>
                <w:snapToGrid w:val="0"/>
                <w:kern w:val="0"/>
                <w:szCs w:val="21"/>
              </w:rPr>
            </w:pPr>
            <w:r>
              <w:rPr>
                <w:rFonts w:hint="eastAsia"/>
                <w:snapToGrid w:val="0"/>
                <w:kern w:val="0"/>
                <w:szCs w:val="21"/>
              </w:rPr>
              <w:t xml:space="preserve">1.未佩戴个人防护用品如耳塞； </w:t>
            </w:r>
          </w:p>
          <w:p>
            <w:pPr>
              <w:keepNext w:val="0"/>
              <w:keepLines w:val="0"/>
              <w:suppressLineNumbers w:val="0"/>
              <w:adjustRightInd w:val="0"/>
              <w:snapToGrid w:val="0"/>
              <w:spacing w:before="0" w:beforeAutospacing="0" w:after="0" w:afterAutospacing="0"/>
              <w:ind w:left="0" w:right="0"/>
              <w:rPr>
                <w:rFonts w:hint="eastAsia"/>
                <w:snapToGrid w:val="0"/>
                <w:kern w:val="0"/>
                <w:szCs w:val="21"/>
              </w:rPr>
            </w:pPr>
            <w:r>
              <w:rPr>
                <w:rFonts w:hint="eastAsia"/>
                <w:snapToGrid w:val="0"/>
                <w:kern w:val="0"/>
                <w:szCs w:val="21"/>
              </w:rPr>
              <w:t>2.作业时间过长；</w:t>
            </w:r>
          </w:p>
          <w:p>
            <w:pPr>
              <w:keepNext w:val="0"/>
              <w:keepLines w:val="0"/>
              <w:widowControl/>
              <w:suppressLineNumbers w:val="0"/>
              <w:overflowPunct w:val="0"/>
              <w:spacing w:before="0" w:beforeAutospacing="0" w:after="0" w:afterAutospacing="0"/>
              <w:ind w:left="0" w:right="0"/>
              <w:jc w:val="left"/>
              <w:rPr>
                <w:rFonts w:hint="eastAsia" w:ascii="Times New Roman" w:hAnsi="Times New Roman" w:cs="Times New Roman"/>
                <w:kern w:val="0"/>
                <w:szCs w:val="21"/>
                <w:lang w:val="en-US" w:eastAsia="zh-CN"/>
              </w:rPr>
            </w:pPr>
            <w:r>
              <w:rPr>
                <w:rFonts w:hint="eastAsia"/>
                <w:snapToGrid w:val="0"/>
                <w:kern w:val="0"/>
                <w:szCs w:val="21"/>
              </w:rPr>
              <w:t>3.设备故障。</w:t>
            </w:r>
          </w:p>
        </w:tc>
        <w:tc>
          <w:tcPr>
            <w:tcW w:w="656" w:type="dxa"/>
            <w:tcBorders>
              <w:righ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lang w:val="en-US" w:eastAsia="zh-CN"/>
              </w:rPr>
              <w:t>人员伤害</w:t>
            </w:r>
          </w:p>
        </w:tc>
        <w:tc>
          <w:tcPr>
            <w:tcW w:w="816" w:type="dxa"/>
            <w:tcBorders>
              <w:left w:val="single" w:color="auto" w:sz="4" w:space="0"/>
            </w:tcBorders>
            <w:noWrap w:val="0"/>
            <w:vAlign w:val="center"/>
          </w:tcPr>
          <w:p>
            <w:pPr>
              <w:keepNext w:val="0"/>
              <w:keepLines w:val="0"/>
              <w:widowControl/>
              <w:suppressLineNumbers w:val="0"/>
              <w:overflowPunct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Ⅱ</w:t>
            </w:r>
          </w:p>
        </w:tc>
        <w:tc>
          <w:tcPr>
            <w:tcW w:w="3107" w:type="dxa"/>
            <w:noWrap w:val="0"/>
            <w:vAlign w:val="center"/>
          </w:tcPr>
          <w:p>
            <w:pPr>
              <w:keepNext w:val="0"/>
              <w:keepLines w:val="0"/>
              <w:suppressLineNumbers w:val="0"/>
              <w:adjustRightInd w:val="0"/>
              <w:snapToGrid w:val="0"/>
              <w:spacing w:before="0" w:beforeAutospacing="0" w:after="0" w:afterAutospacing="0"/>
              <w:ind w:left="0" w:right="0"/>
              <w:rPr>
                <w:rFonts w:hint="eastAsia"/>
                <w:snapToGrid w:val="0"/>
                <w:kern w:val="0"/>
                <w:szCs w:val="21"/>
              </w:rPr>
            </w:pPr>
            <w:r>
              <w:rPr>
                <w:rFonts w:hint="default"/>
                <w:snapToGrid w:val="0"/>
                <w:kern w:val="0"/>
                <w:szCs w:val="21"/>
              </w:rPr>
              <w:t>1</w:t>
            </w:r>
            <w:r>
              <w:rPr>
                <w:rFonts w:hint="eastAsia"/>
                <w:snapToGrid w:val="0"/>
                <w:kern w:val="0"/>
                <w:szCs w:val="21"/>
              </w:rPr>
              <w:t>.</w:t>
            </w:r>
            <w:r>
              <w:rPr>
                <w:rFonts w:hint="default"/>
                <w:snapToGrid w:val="0"/>
                <w:kern w:val="0"/>
                <w:szCs w:val="21"/>
              </w:rPr>
              <w:t>实行时间防护，即事先做好充分准备，尽量减少不必要的停留时间；</w:t>
            </w:r>
            <w:r>
              <w:rPr>
                <w:rFonts w:hint="eastAsia"/>
                <w:snapToGrid w:val="0"/>
                <w:kern w:val="0"/>
                <w:szCs w:val="21"/>
              </w:rPr>
              <w:t xml:space="preserve"> </w:t>
            </w:r>
          </w:p>
          <w:p>
            <w:pPr>
              <w:keepNext w:val="0"/>
              <w:keepLines w:val="0"/>
              <w:suppressLineNumbers w:val="0"/>
              <w:adjustRightInd w:val="0"/>
              <w:snapToGrid w:val="0"/>
              <w:spacing w:before="0" w:beforeAutospacing="0" w:after="0" w:afterAutospacing="0"/>
              <w:ind w:left="0" w:right="0"/>
              <w:rPr>
                <w:rFonts w:hint="eastAsia"/>
                <w:snapToGrid w:val="0"/>
                <w:kern w:val="0"/>
                <w:szCs w:val="21"/>
              </w:rPr>
            </w:pPr>
            <w:r>
              <w:rPr>
                <w:rFonts w:hint="default"/>
                <w:snapToGrid w:val="0"/>
                <w:kern w:val="0"/>
                <w:szCs w:val="21"/>
              </w:rPr>
              <w:t>2</w:t>
            </w:r>
            <w:r>
              <w:rPr>
                <w:rFonts w:hint="eastAsia"/>
                <w:snapToGrid w:val="0"/>
                <w:kern w:val="0"/>
                <w:szCs w:val="21"/>
              </w:rPr>
              <w:t>.</w:t>
            </w:r>
            <w:r>
              <w:rPr>
                <w:rFonts w:hint="default"/>
                <w:snapToGrid w:val="0"/>
                <w:kern w:val="0"/>
                <w:szCs w:val="21"/>
              </w:rPr>
              <w:t>加强个人防护，配戴耳塞等个人防护用品；</w:t>
            </w:r>
          </w:p>
          <w:p>
            <w:pPr>
              <w:keepNext w:val="0"/>
              <w:keepLines w:val="0"/>
              <w:suppressLineNumbers w:val="0"/>
              <w:adjustRightInd w:val="0"/>
              <w:snapToGrid w:val="0"/>
              <w:spacing w:before="0" w:beforeAutospacing="0" w:after="0" w:afterAutospacing="0"/>
              <w:ind w:left="0" w:right="0"/>
              <w:rPr>
                <w:rFonts w:hint="eastAsia"/>
                <w:snapToGrid w:val="0"/>
                <w:kern w:val="0"/>
                <w:szCs w:val="21"/>
              </w:rPr>
            </w:pPr>
            <w:r>
              <w:rPr>
                <w:rFonts w:hint="default"/>
                <w:snapToGrid w:val="0"/>
                <w:kern w:val="0"/>
                <w:szCs w:val="21"/>
              </w:rPr>
              <w:t>3</w:t>
            </w:r>
            <w:r>
              <w:rPr>
                <w:rFonts w:hint="eastAsia"/>
                <w:snapToGrid w:val="0"/>
                <w:kern w:val="0"/>
                <w:szCs w:val="21"/>
              </w:rPr>
              <w:t>.</w:t>
            </w:r>
            <w:r>
              <w:rPr>
                <w:rFonts w:hint="default"/>
                <w:snapToGrid w:val="0"/>
                <w:kern w:val="0"/>
                <w:szCs w:val="21"/>
              </w:rPr>
              <w:t>在保证操作要求的情况下，尽量远离噪声源</w:t>
            </w:r>
            <w:r>
              <w:rPr>
                <w:rFonts w:hint="eastAsia"/>
                <w:snapToGrid w:val="0"/>
                <w:kern w:val="0"/>
                <w:szCs w:val="21"/>
              </w:rPr>
              <w:t>；</w:t>
            </w:r>
          </w:p>
          <w:p>
            <w:pPr>
              <w:keepNext w:val="0"/>
              <w:keepLines w:val="0"/>
              <w:widowControl/>
              <w:numPr>
                <w:ilvl w:val="0"/>
                <w:numId w:val="0"/>
              </w:numPr>
              <w:suppressLineNumbers w:val="0"/>
              <w:overflowPunct w:val="0"/>
              <w:spacing w:before="0" w:beforeAutospacing="0" w:after="0" w:afterAutospacing="0"/>
              <w:ind w:left="0" w:right="0" w:rightChars="0"/>
              <w:jc w:val="both"/>
              <w:rPr>
                <w:rFonts w:hint="eastAsia" w:cs="Times New Roman"/>
                <w:spacing w:val="1"/>
                <w:sz w:val="21"/>
                <w:szCs w:val="21"/>
                <w:lang w:val="en-US" w:eastAsia="zh-CN"/>
              </w:rPr>
            </w:pPr>
            <w:r>
              <w:rPr>
                <w:rFonts w:hint="default"/>
                <w:snapToGrid w:val="0"/>
                <w:kern w:val="0"/>
                <w:szCs w:val="21"/>
              </w:rPr>
              <w:t>4</w:t>
            </w:r>
            <w:r>
              <w:rPr>
                <w:rFonts w:hint="eastAsia"/>
                <w:snapToGrid w:val="0"/>
                <w:kern w:val="0"/>
                <w:szCs w:val="21"/>
              </w:rPr>
              <w:t>.</w:t>
            </w:r>
            <w:r>
              <w:rPr>
                <w:rFonts w:hint="default"/>
                <w:snapToGrid w:val="0"/>
                <w:kern w:val="0"/>
                <w:szCs w:val="21"/>
              </w:rPr>
              <w:t>对设备经常性维护保养</w:t>
            </w:r>
            <w:r>
              <w:rPr>
                <w:rFonts w:hint="eastAsia"/>
                <w:snapToGrid w:val="0"/>
                <w:kern w:val="0"/>
                <w:szCs w:val="21"/>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16" w:firstLineChars="200"/>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pacing w:val="-11"/>
          <w:sz w:val="28"/>
          <w:szCs w:val="28"/>
        </w:rPr>
        <w:t>通过以上分析可知，</w:t>
      </w:r>
      <w:r>
        <w:rPr>
          <w:rFonts w:hint="eastAsia" w:ascii="Times New Roman" w:hAnsi="Times New Roman" w:eastAsia="宋体" w:cs="Times New Roman"/>
          <w:spacing w:val="-11"/>
          <w:sz w:val="28"/>
          <w:szCs w:val="28"/>
          <w:lang w:val="en-US" w:eastAsia="zh-CN"/>
        </w:rPr>
        <w:t>定向</w:t>
      </w:r>
      <w:r>
        <w:rPr>
          <w:rFonts w:hint="eastAsia" w:cs="Times New Roman"/>
          <w:spacing w:val="-11"/>
          <w:sz w:val="28"/>
          <w:szCs w:val="28"/>
          <w:lang w:val="en-US" w:eastAsia="zh-CN"/>
        </w:rPr>
        <w:t>施工</w:t>
      </w:r>
      <w:r>
        <w:rPr>
          <w:rFonts w:hint="default" w:ascii="Times New Roman" w:hAnsi="Times New Roman" w:eastAsia="宋体" w:cs="Times New Roman"/>
          <w:spacing w:val="-11"/>
          <w:sz w:val="28"/>
          <w:szCs w:val="28"/>
        </w:rPr>
        <w:t>过程</w:t>
      </w:r>
      <w:r>
        <w:rPr>
          <w:rFonts w:hint="eastAsia" w:ascii="Times New Roman" w:hAnsi="Times New Roman" w:eastAsia="宋体" w:cs="Times New Roman"/>
          <w:spacing w:val="-11"/>
          <w:sz w:val="28"/>
          <w:szCs w:val="28"/>
          <w:lang w:val="en-US" w:eastAsia="zh-CN"/>
        </w:rPr>
        <w:t>中</w:t>
      </w:r>
      <w:r>
        <w:rPr>
          <w:rFonts w:hint="default" w:ascii="Times New Roman" w:hAnsi="Times New Roman" w:eastAsia="宋体" w:cs="Times New Roman"/>
          <w:spacing w:val="-11"/>
          <w:sz w:val="28"/>
          <w:szCs w:val="28"/>
        </w:rPr>
        <w:t>存在的火灾、爆炸、井喷</w:t>
      </w:r>
      <w:r>
        <w:rPr>
          <w:rFonts w:hint="eastAsia" w:ascii="Times New Roman" w:hAnsi="Times New Roman" w:eastAsia="宋体" w:cs="Times New Roman"/>
          <w:spacing w:val="-11"/>
          <w:sz w:val="28"/>
          <w:szCs w:val="28"/>
          <w:lang w:val="en-US" w:eastAsia="zh-CN"/>
        </w:rPr>
        <w:t>及井喷失控、中毒窒息</w:t>
      </w:r>
      <w:r>
        <w:rPr>
          <w:rFonts w:hint="default" w:ascii="Times New Roman" w:hAnsi="Times New Roman" w:eastAsia="宋体" w:cs="Times New Roman"/>
          <w:spacing w:val="-11"/>
          <w:sz w:val="28"/>
          <w:szCs w:val="28"/>
        </w:rPr>
        <w:t>事故</w:t>
      </w:r>
      <w:r>
        <w:rPr>
          <w:rFonts w:hint="default" w:ascii="Times New Roman" w:hAnsi="Times New Roman" w:eastAsia="宋体" w:cs="Times New Roman"/>
          <w:spacing w:val="1"/>
          <w:sz w:val="28"/>
          <w:szCs w:val="28"/>
        </w:rPr>
        <w:t>对本项目</w:t>
      </w:r>
      <w:r>
        <w:rPr>
          <w:rFonts w:hint="eastAsia" w:ascii="Times New Roman" w:hAnsi="Times New Roman" w:eastAsia="宋体" w:cs="Times New Roman"/>
          <w:spacing w:val="1"/>
          <w:sz w:val="28"/>
          <w:szCs w:val="28"/>
          <w:lang w:val="en-US" w:eastAsia="zh-CN"/>
        </w:rPr>
        <w:t>作业</w:t>
      </w:r>
      <w:r>
        <w:rPr>
          <w:rFonts w:hint="default" w:ascii="Times New Roman" w:hAnsi="Times New Roman" w:eastAsia="宋体" w:cs="Times New Roman"/>
          <w:spacing w:val="1"/>
          <w:sz w:val="28"/>
          <w:szCs w:val="28"/>
        </w:rPr>
        <w:t>人员产生的影响最大，危险等级为</w:t>
      </w:r>
      <w:r>
        <w:rPr>
          <w:rFonts w:hint="default" w:ascii="Times New Roman" w:hAnsi="Times New Roman" w:eastAsia="Times New Roman" w:cs="Times New Roman"/>
          <w:spacing w:val="1"/>
          <w:sz w:val="28"/>
          <w:szCs w:val="28"/>
        </w:rPr>
        <w:t>Ⅲ~Ⅳ</w:t>
      </w:r>
      <w:r>
        <w:rPr>
          <w:rFonts w:hint="default" w:ascii="Times New Roman" w:hAnsi="Times New Roman" w:eastAsia="宋体" w:cs="Times New Roman"/>
          <w:spacing w:val="1"/>
          <w:sz w:val="28"/>
          <w:szCs w:val="28"/>
        </w:rPr>
        <w:t>级，属于</w:t>
      </w:r>
      <w:r>
        <w:rPr>
          <w:rFonts w:hint="eastAsia" w:ascii="Times New Roman" w:hAnsi="Times New Roman" w:eastAsia="宋体" w:cs="Times New Roman"/>
          <w:spacing w:val="1"/>
          <w:sz w:val="28"/>
          <w:szCs w:val="28"/>
          <w:lang w:eastAsia="zh-CN"/>
        </w:rPr>
        <w:t>“</w:t>
      </w:r>
      <w:r>
        <w:rPr>
          <w:rFonts w:hint="default" w:ascii="Times New Roman" w:hAnsi="Times New Roman" w:eastAsia="宋体" w:cs="Times New Roman"/>
          <w:spacing w:val="1"/>
          <w:sz w:val="28"/>
          <w:szCs w:val="28"/>
        </w:rPr>
        <w:t>高度危险</w:t>
      </w:r>
      <w:r>
        <w:rPr>
          <w:rFonts w:hint="eastAsia" w:ascii="Times New Roman" w:hAnsi="Times New Roman" w:eastAsia="宋体" w:cs="Times New Roman"/>
          <w:spacing w:val="1"/>
          <w:sz w:val="28"/>
          <w:szCs w:val="28"/>
          <w:lang w:eastAsia="zh-CN"/>
        </w:rPr>
        <w:t>”，</w:t>
      </w:r>
      <w:r>
        <w:rPr>
          <w:rFonts w:hint="default" w:ascii="Times New Roman" w:hAnsi="Times New Roman" w:eastAsia="宋体" w:cs="Times New Roman"/>
          <w:spacing w:val="1"/>
          <w:sz w:val="28"/>
          <w:szCs w:val="28"/>
        </w:rPr>
        <w:t>必须予以果断排除并进行重点防范</w:t>
      </w:r>
      <w:r>
        <w:rPr>
          <w:rFonts w:hint="eastAsia" w:ascii="Times New Roman" w:hAnsi="Times New Roman" w:eastAsia="宋体" w:cs="Times New Roman"/>
          <w:spacing w:val="1"/>
          <w:sz w:val="28"/>
          <w:szCs w:val="28"/>
          <w:lang w:eastAsia="zh-CN"/>
        </w:rPr>
        <w:t>；</w:t>
      </w:r>
      <w:r>
        <w:rPr>
          <w:rFonts w:hint="eastAsia" w:ascii="Times New Roman" w:hAnsi="Times New Roman" w:eastAsia="宋体" w:cs="Times New Roman"/>
          <w:spacing w:val="1"/>
          <w:sz w:val="28"/>
          <w:szCs w:val="28"/>
          <w:lang w:val="en-US" w:eastAsia="zh-CN"/>
        </w:rPr>
        <w:t>作业</w:t>
      </w:r>
      <w:r>
        <w:rPr>
          <w:rFonts w:hint="default" w:ascii="Times New Roman" w:hAnsi="Times New Roman" w:eastAsia="宋体" w:cs="Times New Roman"/>
          <w:spacing w:val="1"/>
          <w:sz w:val="28"/>
          <w:szCs w:val="28"/>
        </w:rPr>
        <w:t>过程中存在的物体打击、触电、车辆伤害、</w:t>
      </w:r>
      <w:r>
        <w:rPr>
          <w:rFonts w:hint="eastAsia" w:ascii="Times New Roman" w:hAnsi="Times New Roman" w:eastAsia="宋体" w:cs="Times New Roman"/>
          <w:spacing w:val="1"/>
          <w:sz w:val="28"/>
          <w:szCs w:val="28"/>
          <w:lang w:val="en-US" w:eastAsia="zh-CN"/>
        </w:rPr>
        <w:t>起重伤害、高处坠落、坍塌</w:t>
      </w:r>
      <w:r>
        <w:rPr>
          <w:rFonts w:hint="default" w:ascii="Times New Roman" w:hAnsi="Times New Roman" w:eastAsia="宋体" w:cs="Times New Roman"/>
          <w:spacing w:val="-1"/>
          <w:sz w:val="28"/>
          <w:szCs w:val="28"/>
        </w:rPr>
        <w:t>等危险因素危险等级为Ⅱ～Ⅲ，属于</w:t>
      </w:r>
      <w:r>
        <w:rPr>
          <w:rFonts w:hint="eastAsia" w:ascii="Times New Roman" w:hAnsi="Times New Roman" w:eastAsia="宋体" w:cs="Times New Roman"/>
          <w:spacing w:val="-1"/>
          <w:sz w:val="28"/>
          <w:szCs w:val="28"/>
          <w:lang w:eastAsia="zh-CN"/>
        </w:rPr>
        <w:t>“</w:t>
      </w:r>
      <w:r>
        <w:rPr>
          <w:rFonts w:hint="default" w:ascii="Times New Roman" w:hAnsi="Times New Roman" w:eastAsia="宋体" w:cs="Times New Roman"/>
          <w:spacing w:val="-1"/>
          <w:sz w:val="28"/>
          <w:szCs w:val="28"/>
        </w:rPr>
        <w:t>中度危险</w:t>
      </w:r>
      <w:r>
        <w:rPr>
          <w:rFonts w:hint="eastAsia" w:ascii="Times New Roman" w:hAnsi="Times New Roman" w:eastAsia="宋体" w:cs="Times New Roman"/>
          <w:spacing w:val="-1"/>
          <w:sz w:val="28"/>
          <w:szCs w:val="28"/>
          <w:lang w:eastAsia="zh-CN"/>
        </w:rPr>
        <w:t>”，</w:t>
      </w:r>
      <w:r>
        <w:rPr>
          <w:rFonts w:hint="default" w:ascii="Times New Roman" w:hAnsi="Times New Roman" w:eastAsia="宋体" w:cs="Times New Roman"/>
          <w:spacing w:val="-1"/>
          <w:sz w:val="28"/>
          <w:szCs w:val="28"/>
        </w:rPr>
        <w:t>要立即采取防范对策措施</w:t>
      </w:r>
      <w:r>
        <w:rPr>
          <w:rFonts w:hint="eastAsia" w:ascii="Times New Roman" w:hAnsi="Times New Roman" w:eastAsia="宋体" w:cs="Times New Roman"/>
          <w:spacing w:val="-1"/>
          <w:sz w:val="28"/>
          <w:szCs w:val="28"/>
          <w:lang w:eastAsia="zh-CN"/>
        </w:rPr>
        <w:t>；</w:t>
      </w:r>
      <w:r>
        <w:rPr>
          <w:rFonts w:hint="eastAsia" w:ascii="Times New Roman" w:hAnsi="Times New Roman" w:eastAsia="宋体" w:cs="Times New Roman"/>
          <w:spacing w:val="-1"/>
          <w:sz w:val="28"/>
          <w:szCs w:val="28"/>
          <w:lang w:val="en-US" w:eastAsia="zh-CN"/>
        </w:rPr>
        <w:t>机械伤害、噪声与振动危害</w:t>
      </w:r>
      <w:r>
        <w:rPr>
          <w:rFonts w:hint="default" w:ascii="Times New Roman" w:hAnsi="Times New Roman" w:eastAsia="宋体" w:cs="Times New Roman"/>
          <w:spacing w:val="-1"/>
          <w:sz w:val="28"/>
          <w:szCs w:val="28"/>
        </w:rPr>
        <w:t>等危险因素危险等级为</w:t>
      </w:r>
      <w:r>
        <w:rPr>
          <w:rFonts w:hint="default" w:ascii="Times New Roman" w:hAnsi="Times New Roman" w:eastAsia="Times New Roman" w:cs="Times New Roman"/>
          <w:spacing w:val="-1"/>
          <w:sz w:val="28"/>
          <w:szCs w:val="28"/>
        </w:rPr>
        <w:t>Ⅱ</w:t>
      </w:r>
      <w:r>
        <w:rPr>
          <w:rFonts w:hint="eastAsia" w:ascii="Times New Roman" w:hAnsi="Times New Roman" w:eastAsia="宋体" w:cs="Times New Roman"/>
          <w:spacing w:val="-1"/>
          <w:sz w:val="28"/>
          <w:szCs w:val="28"/>
          <w:lang w:val="en-US" w:eastAsia="zh-CN"/>
        </w:rPr>
        <w:t>级，危险程度为临界的，</w:t>
      </w:r>
      <w:r>
        <w:rPr>
          <w:rFonts w:hint="default" w:ascii="Times New Roman" w:hAnsi="Times New Roman" w:eastAsia="宋体" w:cs="Times New Roman"/>
          <w:spacing w:val="-1"/>
          <w:sz w:val="28"/>
          <w:szCs w:val="28"/>
        </w:rPr>
        <w:t>应予以排除或采取控制措施</w:t>
      </w:r>
      <w:r>
        <w:rPr>
          <w:rFonts w:hint="default" w:ascii="Times New Roman" w:hAnsi="Times New Roman" w:eastAsia="宋体" w:cs="Times New Roman"/>
          <w:spacing w:val="-1"/>
          <w:sz w:val="28"/>
          <w:szCs w:val="28"/>
          <w:lang w:eastAsia="zh-CN"/>
        </w:rPr>
        <w:t>。</w:t>
      </w:r>
    </w:p>
    <w:p>
      <w:pPr>
        <w:pStyle w:val="4"/>
        <w:adjustRightInd w:val="0"/>
        <w:snapToGrid w:val="0"/>
        <w:spacing w:before="0" w:after="0" w:line="360" w:lineRule="auto"/>
        <w:rPr>
          <w:rFonts w:hint="default" w:ascii="Times New Roman" w:hAnsi="Times New Roman" w:eastAsia="黑体"/>
          <w:color w:val="auto"/>
          <w:sz w:val="28"/>
          <w:szCs w:val="28"/>
          <w:lang w:val="en-US" w:eastAsia="zh-CN"/>
        </w:rPr>
      </w:pPr>
      <w:bookmarkStart w:id="125" w:name="_Toc19035"/>
      <w:r>
        <w:rPr>
          <w:rFonts w:hint="eastAsia" w:ascii="Times New Roman" w:hAnsi="Times New Roman"/>
          <w:b w:val="0"/>
          <w:bCs/>
          <w:color w:val="auto"/>
          <w:szCs w:val="32"/>
        </w:rPr>
        <w:t>5.</w:t>
      </w:r>
      <w:r>
        <w:rPr>
          <w:rFonts w:hint="eastAsia" w:ascii="Times New Roman" w:hAnsi="Times New Roman"/>
          <w:b w:val="0"/>
          <w:bCs/>
          <w:color w:val="auto"/>
          <w:szCs w:val="32"/>
          <w:lang w:val="en-US" w:eastAsia="zh-CN"/>
        </w:rPr>
        <w:t>4</w:t>
      </w:r>
      <w:r>
        <w:rPr>
          <w:rFonts w:hint="eastAsia" w:ascii="Times New Roman" w:hAnsi="Times New Roman"/>
          <w:b w:val="0"/>
          <w:bCs/>
          <w:color w:val="auto"/>
          <w:szCs w:val="32"/>
        </w:rPr>
        <w:t xml:space="preserve"> </w:t>
      </w:r>
      <w:r>
        <w:rPr>
          <w:rFonts w:ascii="Times New Roman" w:hAnsi="Times New Roman"/>
          <w:b w:val="0"/>
          <w:bCs/>
          <w:color w:val="auto"/>
          <w:szCs w:val="32"/>
        </w:rPr>
        <w:t xml:space="preserve"> </w:t>
      </w:r>
      <w:r>
        <w:rPr>
          <w:rFonts w:hint="eastAsia" w:ascii="Times New Roman" w:hAnsi="Times New Roman"/>
          <w:b w:val="0"/>
          <w:bCs/>
          <w:color w:val="auto"/>
          <w:szCs w:val="32"/>
          <w:lang w:val="en-US" w:eastAsia="zh-CN"/>
        </w:rPr>
        <w:t>作业条件危险性评价</w:t>
      </w:r>
      <w:bookmarkEnd w:id="125"/>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color w:val="auto"/>
          <w:sz w:val="28"/>
          <w:szCs w:val="28"/>
        </w:rPr>
      </w:pPr>
      <w:r>
        <w:rPr>
          <w:rFonts w:hint="eastAsia"/>
          <w:snapToGrid w:val="0"/>
          <w:color w:val="auto"/>
          <w:kern w:val="0"/>
          <w:sz w:val="28"/>
          <w:szCs w:val="28"/>
        </w:rPr>
        <w:t>根据作业条件危险性评价法的规定，对</w:t>
      </w:r>
      <w:r>
        <w:rPr>
          <w:rFonts w:hint="eastAsia"/>
          <w:snapToGrid w:val="0"/>
          <w:color w:val="auto"/>
          <w:kern w:val="0"/>
          <w:sz w:val="28"/>
          <w:szCs w:val="28"/>
          <w:lang w:eastAsia="zh-CN"/>
        </w:rPr>
        <w:t>该项目</w:t>
      </w:r>
      <w:r>
        <w:rPr>
          <w:rFonts w:hint="eastAsia"/>
          <w:snapToGrid w:val="0"/>
          <w:color w:val="auto"/>
          <w:kern w:val="0"/>
          <w:sz w:val="28"/>
          <w:szCs w:val="28"/>
        </w:rPr>
        <w:t>生产单元运行过程中事故或危险事件发生的可能性（L）、暴露于危险环境的频率（E）及危险严重程度（C）进行取值、计算，得出运行中主要危害的危险程度，详见表</w:t>
      </w:r>
      <w:r>
        <w:rPr>
          <w:rFonts w:hint="eastAsia"/>
          <w:snapToGrid w:val="0"/>
          <w:color w:val="auto"/>
          <w:kern w:val="0"/>
          <w:sz w:val="28"/>
          <w:szCs w:val="28"/>
          <w:lang w:val="en-US" w:eastAsia="zh-CN"/>
        </w:rPr>
        <w:t>5.4</w:t>
      </w:r>
      <w:r>
        <w:rPr>
          <w:rFonts w:hint="eastAsia"/>
          <w:snapToGrid w:val="0"/>
          <w:color w:val="auto"/>
          <w:kern w:val="0"/>
          <w:sz w:val="28"/>
          <w:szCs w:val="28"/>
        </w:rPr>
        <w:t>-1。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auto"/>
          <w:sz w:val="28"/>
          <w:szCs w:val="28"/>
        </w:rPr>
      </w:pPr>
      <w:r>
        <w:rPr>
          <w:rFonts w:hint="eastAsia"/>
          <w:b/>
          <w:bCs w:val="0"/>
          <w:color w:val="auto"/>
          <w:sz w:val="24"/>
        </w:rPr>
        <w:t>表5</w:t>
      </w:r>
      <w:r>
        <w:rPr>
          <w:rFonts w:hint="eastAsia"/>
          <w:b/>
          <w:bCs w:val="0"/>
          <w:color w:val="auto"/>
          <w:sz w:val="24"/>
          <w:lang w:val="en-US" w:eastAsia="zh-CN"/>
        </w:rPr>
        <w:t>.4-1</w:t>
      </w:r>
      <w:r>
        <w:rPr>
          <w:rFonts w:hint="eastAsia"/>
          <w:b/>
          <w:bCs w:val="0"/>
          <w:color w:val="auto"/>
          <w:sz w:val="24"/>
        </w:rPr>
        <w:t xml:space="preserve"> </w:t>
      </w:r>
      <w:r>
        <w:rPr>
          <w:b/>
          <w:bCs w:val="0"/>
          <w:color w:val="auto"/>
          <w:sz w:val="24"/>
        </w:rPr>
        <w:t xml:space="preserve"> </w:t>
      </w:r>
      <w:r>
        <w:rPr>
          <w:rFonts w:hint="eastAsia"/>
          <w:b/>
          <w:bCs w:val="0"/>
          <w:color w:val="auto"/>
          <w:sz w:val="24"/>
          <w:lang w:val="en-US" w:eastAsia="zh-CN"/>
        </w:rPr>
        <w:t>定向施工过程作业条件危险性评价表</w:t>
      </w:r>
    </w:p>
    <w:tbl>
      <w:tblPr>
        <w:tblStyle w:val="5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870"/>
        <w:gridCol w:w="1460"/>
        <w:gridCol w:w="543"/>
        <w:gridCol w:w="543"/>
        <w:gridCol w:w="543"/>
        <w:gridCol w:w="790"/>
        <w:gridCol w:w="1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5" w:type="pct"/>
            <w:vMerge w:val="restart"/>
            <w:tcBorders>
              <w:tl2br w:val="nil"/>
              <w:tr2bl w:val="nil"/>
            </w:tcBorders>
            <w:noWrap w:val="0"/>
            <w:tcMar>
              <w:top w:w="85" w:type="dxa"/>
              <w:left w:w="85" w:type="dxa"/>
              <w:bottom w:w="85" w:type="dxa"/>
              <w:right w:w="85" w:type="dxa"/>
            </w:tcMar>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评价对象</w:t>
            </w:r>
          </w:p>
        </w:tc>
        <w:tc>
          <w:tcPr>
            <w:tcW w:w="1103" w:type="pct"/>
            <w:vMerge w:val="restart"/>
            <w:tcBorders>
              <w:tl2br w:val="nil"/>
              <w:tr2bl w:val="nil"/>
            </w:tcBorders>
            <w:noWrap w:val="0"/>
            <w:tcMar>
              <w:top w:w="85" w:type="dxa"/>
              <w:left w:w="85" w:type="dxa"/>
              <w:bottom w:w="85" w:type="dxa"/>
              <w:right w:w="85" w:type="dxa"/>
            </w:tcMar>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危险源</w:t>
            </w:r>
          </w:p>
        </w:tc>
        <w:tc>
          <w:tcPr>
            <w:tcW w:w="861" w:type="pct"/>
            <w:vMerge w:val="restart"/>
            <w:tcBorders>
              <w:tl2br w:val="nil"/>
              <w:tr2bl w:val="nil"/>
            </w:tcBorders>
            <w:noWrap w:val="0"/>
            <w:tcMar>
              <w:top w:w="85" w:type="dxa"/>
              <w:left w:w="85" w:type="dxa"/>
              <w:bottom w:w="85" w:type="dxa"/>
              <w:right w:w="85" w:type="dxa"/>
            </w:tcMar>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主要潜在风险</w:t>
            </w:r>
          </w:p>
        </w:tc>
        <w:tc>
          <w:tcPr>
            <w:tcW w:w="1426" w:type="pct"/>
            <w:gridSpan w:val="4"/>
            <w:tcBorders>
              <w:tl2br w:val="nil"/>
              <w:tr2bl w:val="nil"/>
            </w:tcBorders>
            <w:noWrap w:val="0"/>
            <w:tcMar>
              <w:top w:w="85" w:type="dxa"/>
              <w:left w:w="85" w:type="dxa"/>
              <w:bottom w:w="85" w:type="dxa"/>
              <w:right w:w="85" w:type="dxa"/>
            </w:tcMar>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风险值D=L×E×C</w:t>
            </w:r>
          </w:p>
        </w:tc>
        <w:tc>
          <w:tcPr>
            <w:tcW w:w="773" w:type="pct"/>
            <w:vMerge w:val="restart"/>
            <w:tcBorders>
              <w:tl2br w:val="nil"/>
              <w:tr2bl w:val="nil"/>
            </w:tcBorders>
            <w:noWrap w:val="0"/>
            <w:tcMar>
              <w:top w:w="85" w:type="dxa"/>
              <w:left w:w="85" w:type="dxa"/>
              <w:bottom w:w="85" w:type="dxa"/>
              <w:right w:w="85" w:type="dxa"/>
            </w:tcMar>
            <w:vAlign w:val="center"/>
          </w:tcPr>
          <w:p>
            <w:pPr>
              <w:keepNext w:val="0"/>
              <w:keepLines w:val="0"/>
              <w:widowControl/>
              <w:suppressLineNumbers w:val="0"/>
              <w:overflowPunct w:val="0"/>
              <w:spacing w:before="0" w:beforeAutospacing="0" w:after="0" w:afterAutospacing="0"/>
              <w:ind w:left="0" w:right="0"/>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危险程度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5"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黑体"/>
                <w:snapToGrid w:val="0"/>
                <w:color w:val="auto"/>
                <w:kern w:val="0"/>
                <w:szCs w:val="21"/>
              </w:rPr>
            </w:pPr>
          </w:p>
        </w:tc>
        <w:tc>
          <w:tcPr>
            <w:tcW w:w="1103"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黑体"/>
                <w:snapToGrid w:val="0"/>
                <w:color w:val="auto"/>
                <w:kern w:val="0"/>
                <w:szCs w:val="21"/>
              </w:rPr>
            </w:pPr>
          </w:p>
        </w:tc>
        <w:tc>
          <w:tcPr>
            <w:tcW w:w="861"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黑体"/>
                <w:snapToGrid w:val="0"/>
                <w:color w:val="auto"/>
                <w:kern w:val="0"/>
                <w:szCs w:val="21"/>
              </w:rPr>
            </w:pP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黑体"/>
                <w:snapToGrid w:val="0"/>
                <w:color w:val="auto"/>
                <w:kern w:val="0"/>
                <w:szCs w:val="21"/>
              </w:rPr>
            </w:pPr>
            <w:r>
              <w:rPr>
                <w:rFonts w:hint="eastAsia" w:eastAsia="黑体"/>
                <w:snapToGrid w:val="0"/>
                <w:color w:val="auto"/>
                <w:kern w:val="0"/>
                <w:szCs w:val="21"/>
              </w:rPr>
              <w:t>L</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黑体"/>
                <w:snapToGrid w:val="0"/>
                <w:color w:val="auto"/>
                <w:kern w:val="0"/>
                <w:szCs w:val="21"/>
              </w:rPr>
            </w:pPr>
            <w:r>
              <w:rPr>
                <w:rFonts w:hint="eastAsia" w:eastAsia="黑体"/>
                <w:snapToGrid w:val="0"/>
                <w:color w:val="auto"/>
                <w:kern w:val="0"/>
                <w:szCs w:val="21"/>
              </w:rPr>
              <w:t>E</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黑体"/>
                <w:snapToGrid w:val="0"/>
                <w:color w:val="auto"/>
                <w:kern w:val="0"/>
                <w:szCs w:val="21"/>
              </w:rPr>
            </w:pPr>
            <w:r>
              <w:rPr>
                <w:rFonts w:hint="eastAsia" w:eastAsia="黑体"/>
                <w:snapToGrid w:val="0"/>
                <w:color w:val="auto"/>
                <w:kern w:val="0"/>
                <w:szCs w:val="21"/>
              </w:rPr>
              <w:t>C</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黑体"/>
                <w:snapToGrid w:val="0"/>
                <w:color w:val="auto"/>
                <w:kern w:val="0"/>
                <w:szCs w:val="21"/>
              </w:rPr>
            </w:pPr>
            <w:r>
              <w:rPr>
                <w:rFonts w:hint="eastAsia" w:eastAsia="黑体"/>
                <w:snapToGrid w:val="0"/>
                <w:color w:val="auto"/>
                <w:kern w:val="0"/>
                <w:szCs w:val="21"/>
              </w:rPr>
              <w:t>D</w:t>
            </w:r>
          </w:p>
        </w:tc>
        <w:tc>
          <w:tcPr>
            <w:tcW w:w="773"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eastAsia="黑体"/>
                <w:snapToGrid w:val="0"/>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835" w:type="pct"/>
            <w:vMerge w:val="restar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 xml:space="preserve">定向井现场施工 </w:t>
            </w:r>
          </w:p>
        </w:tc>
        <w:tc>
          <w:tcPr>
            <w:tcW w:w="1103" w:type="pct"/>
            <w:vMerge w:val="restar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井口</w:t>
            </w: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火灾爆炸</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1</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6</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7</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42</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可能危险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35"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Cs w:val="21"/>
                <w:lang w:val="en-US" w:eastAsia="zh-CN"/>
              </w:rPr>
            </w:pPr>
          </w:p>
        </w:tc>
        <w:tc>
          <w:tcPr>
            <w:tcW w:w="1103"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snapToGrid w:val="0"/>
                <w:color w:val="auto"/>
                <w:kern w:val="0"/>
                <w:szCs w:val="21"/>
                <w:lang w:val="en-US" w:eastAsia="zh-CN"/>
              </w:rPr>
            </w:pP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井喷及井喷失控</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1</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6</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7</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42</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可能危险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5"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Cs w:val="21"/>
                <w:lang w:val="en-US" w:eastAsia="zh-CN"/>
              </w:rPr>
            </w:pPr>
          </w:p>
        </w:tc>
        <w:tc>
          <w:tcPr>
            <w:tcW w:w="1103"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snapToGrid w:val="0"/>
                <w:color w:val="auto"/>
                <w:kern w:val="0"/>
                <w:szCs w:val="21"/>
                <w:lang w:val="en-US" w:eastAsia="zh-CN"/>
              </w:rPr>
            </w:pP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中毒窒息</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1</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6</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7</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42</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可能危险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5"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Cs w:val="21"/>
                <w:lang w:val="en-US" w:eastAsia="zh-CN"/>
              </w:rPr>
            </w:pPr>
          </w:p>
        </w:tc>
        <w:tc>
          <w:tcPr>
            <w:tcW w:w="110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泥浆掉块</w:t>
            </w: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物体打击</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3</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3</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1</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9</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snapToGrid w:val="0"/>
                <w:color w:val="auto"/>
                <w:kern w:val="0"/>
                <w:szCs w:val="21"/>
                <w:lang w:val="en-US" w:eastAsia="zh-CN"/>
              </w:rPr>
            </w:pPr>
            <w:r>
              <w:rPr>
                <w:rFonts w:hint="eastAsia"/>
                <w:snapToGrid w:val="0"/>
                <w:color w:val="auto"/>
                <w:kern w:val="0"/>
                <w:szCs w:val="21"/>
                <w:lang w:val="en-US" w:eastAsia="zh-CN"/>
              </w:rPr>
              <w:t>稍有</w:t>
            </w:r>
            <w:r>
              <w:rPr>
                <w:rFonts w:hint="eastAsia"/>
                <w:snapToGrid w:val="0"/>
                <w:color w:val="auto"/>
                <w:kern w:val="0"/>
                <w:szCs w:val="21"/>
              </w:rPr>
              <w:t>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5"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野营房布置</w:t>
            </w:r>
          </w:p>
        </w:tc>
        <w:tc>
          <w:tcPr>
            <w:tcW w:w="110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野营房附</w:t>
            </w:r>
            <w:r>
              <w:rPr>
                <w:rFonts w:hint="eastAsia" w:ascii="Times New Roman" w:hAnsi="Times New Roman" w:eastAsia="宋体" w:cs="Times New Roman"/>
                <w:snapToGrid w:val="0"/>
                <w:color w:val="auto"/>
                <w:kern w:val="0"/>
                <w:szCs w:val="21"/>
                <w:lang w:val="en-US" w:eastAsia="zh-CN"/>
              </w:rPr>
              <w:t>近的井架、跑道、机房等设施</w:t>
            </w: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物体打击</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1</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3</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1</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3</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稍有</w:t>
            </w:r>
            <w:r>
              <w:rPr>
                <w:rFonts w:hint="eastAsia"/>
                <w:snapToGrid w:val="0"/>
                <w:color w:val="auto"/>
                <w:kern w:val="0"/>
                <w:szCs w:val="21"/>
              </w:rPr>
              <w:t>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5"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Cs w:val="21"/>
                <w:lang w:val="en-US" w:eastAsia="zh-CN"/>
              </w:rPr>
              <w:t>仪器连接及测试</w:t>
            </w:r>
          </w:p>
        </w:tc>
        <w:tc>
          <w:tcPr>
            <w:tcW w:w="110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抱钳连接仪器</w:t>
            </w: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机械伤害</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3</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3</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1</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9</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稍有</w:t>
            </w:r>
            <w:r>
              <w:rPr>
                <w:rFonts w:hint="eastAsia"/>
                <w:snapToGrid w:val="0"/>
                <w:color w:val="auto"/>
                <w:kern w:val="0"/>
                <w:szCs w:val="21"/>
              </w:rPr>
              <w:t>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5"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Cs w:val="21"/>
                <w:lang w:val="en-US" w:eastAsia="zh-CN"/>
              </w:rPr>
              <w:t>仪器的投放</w:t>
            </w:r>
          </w:p>
        </w:tc>
        <w:tc>
          <w:tcPr>
            <w:tcW w:w="110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Cs w:val="21"/>
                <w:lang w:val="en-US" w:eastAsia="zh-CN"/>
              </w:rPr>
              <w:t>用绳套捆绑杆件</w:t>
            </w: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物体打击</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3</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2</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1</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6</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稍有</w:t>
            </w:r>
            <w:r>
              <w:rPr>
                <w:rFonts w:hint="eastAsia"/>
                <w:snapToGrid w:val="0"/>
                <w:color w:val="auto"/>
                <w:kern w:val="0"/>
                <w:szCs w:val="21"/>
              </w:rPr>
              <w:t>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5"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供配电线路</w:t>
            </w:r>
          </w:p>
        </w:tc>
        <w:tc>
          <w:tcPr>
            <w:tcW w:w="110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电气设施</w:t>
            </w: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触电</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rPr>
              <w:t>1</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rPr>
              <w:t>6</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3</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18</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lang w:val="en-US" w:eastAsia="zh-CN"/>
              </w:rPr>
              <w:t>稍有</w:t>
            </w:r>
            <w:r>
              <w:rPr>
                <w:rFonts w:hint="eastAsia"/>
                <w:snapToGrid w:val="0"/>
                <w:color w:val="auto"/>
                <w:kern w:val="0"/>
                <w:szCs w:val="21"/>
              </w:rPr>
              <w:t>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35" w:type="pct"/>
            <w:vMerge w:val="restar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Cs w:val="21"/>
                <w:lang w:val="en-US" w:eastAsia="zh-CN"/>
              </w:rPr>
            </w:pPr>
            <w:r>
              <w:rPr>
                <w:rFonts w:hint="eastAsia" w:ascii="Times New Roman" w:hAnsi="Times New Roman" w:eastAsia="宋体" w:cs="Times New Roman"/>
                <w:snapToGrid w:val="0"/>
                <w:color w:val="auto"/>
                <w:kern w:val="0"/>
                <w:szCs w:val="21"/>
                <w:lang w:val="en-US" w:eastAsia="zh-CN"/>
              </w:rPr>
              <w:t>吊装/卸野营房及运输过程</w:t>
            </w:r>
          </w:p>
        </w:tc>
        <w:tc>
          <w:tcPr>
            <w:tcW w:w="110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配合甲方吊装作业</w:t>
            </w: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起重伤害</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3</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2</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1</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6</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snapToGrid w:val="0"/>
                <w:color w:val="auto"/>
                <w:kern w:val="0"/>
                <w:szCs w:val="21"/>
                <w:lang w:val="en-US" w:eastAsia="zh-CN"/>
              </w:rPr>
            </w:pPr>
            <w:r>
              <w:rPr>
                <w:rFonts w:hint="eastAsia"/>
                <w:snapToGrid w:val="0"/>
                <w:color w:val="auto"/>
                <w:kern w:val="0"/>
                <w:szCs w:val="21"/>
                <w:lang w:val="en-US" w:eastAsia="zh-CN"/>
              </w:rPr>
              <w:t>稍有</w:t>
            </w:r>
            <w:r>
              <w:rPr>
                <w:rFonts w:hint="eastAsia"/>
                <w:snapToGrid w:val="0"/>
                <w:color w:val="auto"/>
                <w:kern w:val="0"/>
                <w:szCs w:val="21"/>
              </w:rPr>
              <w:t>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835" w:type="pct"/>
            <w:vMerge w:val="continue"/>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napToGrid w:val="0"/>
                <w:color w:val="auto"/>
                <w:kern w:val="0"/>
                <w:szCs w:val="21"/>
                <w:lang w:val="en-US" w:eastAsia="zh-CN"/>
              </w:rPr>
            </w:pPr>
          </w:p>
        </w:tc>
        <w:tc>
          <w:tcPr>
            <w:tcW w:w="110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配合甲方运输作业</w:t>
            </w:r>
          </w:p>
        </w:tc>
        <w:tc>
          <w:tcPr>
            <w:tcW w:w="861"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车辆伤害</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3</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2</w:t>
            </w:r>
          </w:p>
        </w:tc>
        <w:tc>
          <w:tcPr>
            <w:tcW w:w="320"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1</w:t>
            </w:r>
          </w:p>
        </w:tc>
        <w:tc>
          <w:tcPr>
            <w:tcW w:w="466"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0"/>
                <w:szCs w:val="21"/>
                <w:lang w:val="en-US" w:eastAsia="zh-CN"/>
              </w:rPr>
            </w:pPr>
            <w:r>
              <w:rPr>
                <w:rFonts w:hint="eastAsia"/>
                <w:snapToGrid w:val="0"/>
                <w:color w:val="auto"/>
                <w:kern w:val="0"/>
                <w:szCs w:val="21"/>
                <w:lang w:val="en-US" w:eastAsia="zh-CN"/>
              </w:rPr>
              <w:t>6</w:t>
            </w:r>
          </w:p>
        </w:tc>
        <w:tc>
          <w:tcPr>
            <w:tcW w:w="773" w:type="pct"/>
            <w:tcBorders>
              <w:tl2br w:val="nil"/>
              <w:tr2bl w:val="nil"/>
            </w:tcBorders>
            <w:noWrap w:val="0"/>
            <w:tcMar>
              <w:top w:w="85" w:type="dxa"/>
              <w:left w:w="85" w:type="dxa"/>
              <w:bottom w:w="85" w:type="dxa"/>
              <w:right w:w="85" w:type="dxa"/>
            </w:tcMar>
            <w:vAlign w:val="center"/>
          </w:tcPr>
          <w:p>
            <w:pPr>
              <w:keepNext w:val="0"/>
              <w:keepLines w:val="0"/>
              <w:suppressLineNumbers w:val="0"/>
              <w:adjustRightInd w:val="0"/>
              <w:snapToGrid w:val="0"/>
              <w:spacing w:before="0" w:beforeAutospacing="0" w:after="0" w:afterAutospacing="0"/>
              <w:ind w:left="0" w:right="0"/>
              <w:jc w:val="center"/>
              <w:rPr>
                <w:rFonts w:hint="eastAsia"/>
                <w:snapToGrid w:val="0"/>
                <w:color w:val="auto"/>
                <w:kern w:val="0"/>
                <w:szCs w:val="21"/>
                <w:lang w:val="en-US" w:eastAsia="zh-CN"/>
              </w:rPr>
            </w:pPr>
            <w:r>
              <w:rPr>
                <w:rFonts w:hint="eastAsia"/>
                <w:snapToGrid w:val="0"/>
                <w:color w:val="auto"/>
                <w:kern w:val="0"/>
                <w:szCs w:val="21"/>
                <w:lang w:val="en-US" w:eastAsia="zh-CN"/>
              </w:rPr>
              <w:t>稍有</w:t>
            </w:r>
            <w:r>
              <w:rPr>
                <w:rFonts w:hint="eastAsia"/>
                <w:snapToGrid w:val="0"/>
                <w:color w:val="auto"/>
                <w:kern w:val="0"/>
                <w:szCs w:val="21"/>
              </w:rPr>
              <w:t>危险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eastAsia="宋体"/>
          <w:color w:val="1F4E79" w:themeColor="accent1" w:themeShade="80"/>
          <w:sz w:val="28"/>
          <w:szCs w:val="28"/>
          <w:lang w:eastAsia="zh-CN"/>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r>
        <w:rPr>
          <w:rFonts w:hint="eastAsia"/>
          <w:snapToGrid w:val="0"/>
          <w:color w:val="auto"/>
          <w:kern w:val="0"/>
          <w:sz w:val="28"/>
          <w:szCs w:val="28"/>
        </w:rPr>
        <w:t>经计算得知：</w:t>
      </w:r>
      <w:r>
        <w:rPr>
          <w:rFonts w:hint="eastAsia"/>
          <w:snapToGrid w:val="0"/>
          <w:color w:val="auto"/>
          <w:kern w:val="0"/>
          <w:sz w:val="28"/>
          <w:szCs w:val="28"/>
          <w:lang w:eastAsia="zh-CN"/>
        </w:rPr>
        <w:t>该项目</w:t>
      </w:r>
      <w:r>
        <w:rPr>
          <w:rFonts w:hint="eastAsia"/>
          <w:snapToGrid w:val="0"/>
          <w:color w:val="auto"/>
          <w:kern w:val="0"/>
          <w:sz w:val="28"/>
          <w:szCs w:val="28"/>
          <w:lang w:val="en-US" w:eastAsia="zh-CN"/>
        </w:rPr>
        <w:t>定向井现场施工的火灾爆炸、井喷及井喷失控、中毒窒息</w:t>
      </w:r>
      <w:r>
        <w:rPr>
          <w:rFonts w:hint="eastAsia"/>
          <w:snapToGrid w:val="0"/>
          <w:color w:val="auto"/>
          <w:kern w:val="0"/>
          <w:sz w:val="28"/>
          <w:szCs w:val="28"/>
        </w:rPr>
        <w:t>事故的危险程度为</w:t>
      </w:r>
      <w:r>
        <w:rPr>
          <w:rFonts w:hint="eastAsia"/>
          <w:snapToGrid w:val="0"/>
          <w:color w:val="auto"/>
          <w:kern w:val="0"/>
          <w:sz w:val="28"/>
          <w:szCs w:val="28"/>
          <w:lang w:eastAsia="zh-CN"/>
        </w:rPr>
        <w:t>“</w:t>
      </w:r>
      <w:r>
        <w:rPr>
          <w:rFonts w:hint="eastAsia"/>
          <w:snapToGrid w:val="0"/>
          <w:color w:val="auto"/>
          <w:kern w:val="0"/>
          <w:sz w:val="28"/>
          <w:szCs w:val="28"/>
        </w:rPr>
        <w:t>可能危险</w:t>
      </w:r>
      <w:r>
        <w:rPr>
          <w:rFonts w:hint="eastAsia"/>
          <w:snapToGrid w:val="0"/>
          <w:color w:val="auto"/>
          <w:kern w:val="0"/>
          <w:sz w:val="28"/>
          <w:szCs w:val="28"/>
          <w:lang w:eastAsia="zh-CN"/>
        </w:rPr>
        <w:t>”</w:t>
      </w:r>
      <w:r>
        <w:rPr>
          <w:rFonts w:hint="eastAsia"/>
          <w:snapToGrid w:val="0"/>
          <w:color w:val="auto"/>
          <w:kern w:val="0"/>
          <w:sz w:val="28"/>
          <w:szCs w:val="28"/>
        </w:rPr>
        <w:t>，应作为本工程安全防范的重点</w:t>
      </w:r>
      <w:r>
        <w:rPr>
          <w:rFonts w:hint="eastAsia"/>
          <w:snapToGrid w:val="0"/>
          <w:color w:val="auto"/>
          <w:kern w:val="0"/>
          <w:sz w:val="28"/>
          <w:szCs w:val="28"/>
          <w:lang w:eastAsia="zh-CN"/>
        </w:rPr>
        <w:t>；</w:t>
      </w:r>
      <w:r>
        <w:rPr>
          <w:rFonts w:hint="eastAsia"/>
          <w:snapToGrid w:val="0"/>
          <w:color w:val="auto"/>
          <w:kern w:val="0"/>
          <w:sz w:val="28"/>
          <w:szCs w:val="28"/>
          <w:lang w:val="en-US" w:eastAsia="zh-CN"/>
        </w:rPr>
        <w:t>定向井现场施工、野营房布置以及仪器的投放造成的物体打击事故，仪器连接及测试造成的机械伤害，供配电线路造成的触电事故，在配合甲方</w:t>
      </w:r>
      <w:r>
        <w:rPr>
          <w:rFonts w:hint="eastAsia" w:ascii="Times New Roman" w:hAnsi="Times New Roman" w:eastAsia="宋体" w:cs="Times New Roman"/>
          <w:snapToGrid w:val="0"/>
          <w:color w:val="auto"/>
          <w:kern w:val="0"/>
          <w:sz w:val="28"/>
          <w:szCs w:val="28"/>
          <w:lang w:val="en-US" w:eastAsia="zh-CN"/>
        </w:rPr>
        <w:t>吊装/卸野营房及运输过程中造成的起重伤害、车辆伤害危险程度均为“稍有危险”，也应引起注意</w:t>
      </w:r>
      <w:r>
        <w:rPr>
          <w:rFonts w:hint="eastAsia"/>
          <w:snapToGrid w:val="0"/>
          <w:color w:val="auto"/>
          <w:kern w:val="0"/>
          <w:sz w:val="28"/>
          <w:szCs w:val="28"/>
        </w:rPr>
        <w:t>。</w:t>
      </w:r>
    </w:p>
    <w:bookmarkEnd w:id="120"/>
    <w:p>
      <w:pPr>
        <w:pStyle w:val="3"/>
        <w:adjustRightInd w:val="0"/>
        <w:snapToGrid w:val="0"/>
        <w:spacing w:line="360" w:lineRule="auto"/>
        <w:rPr>
          <w:rFonts w:eastAsia="楷体_GB2312"/>
          <w:b/>
          <w:sz w:val="36"/>
          <w:szCs w:val="36"/>
        </w:rPr>
      </w:pPr>
      <w:bookmarkStart w:id="126" w:name="_Toc281310753"/>
      <w:bookmarkStart w:id="127" w:name="_Toc24753"/>
      <w:r>
        <w:rPr>
          <w:rFonts w:eastAsia="楷体_GB2312"/>
          <w:b/>
          <w:sz w:val="36"/>
          <w:szCs w:val="36"/>
        </w:rPr>
        <w:t>6</w:t>
      </w:r>
      <w:r>
        <w:rPr>
          <w:rFonts w:hint="eastAsia" w:eastAsia="楷体_GB2312"/>
          <w:b/>
          <w:sz w:val="36"/>
          <w:szCs w:val="36"/>
        </w:rPr>
        <w:t xml:space="preserve"> </w:t>
      </w:r>
      <w:r>
        <w:rPr>
          <w:rFonts w:eastAsia="楷体_GB2312"/>
          <w:b/>
          <w:sz w:val="36"/>
          <w:szCs w:val="36"/>
        </w:rPr>
        <w:t xml:space="preserve"> </w:t>
      </w:r>
      <w:r>
        <w:rPr>
          <w:rFonts w:hint="eastAsia" w:eastAsia="楷体_GB2312"/>
          <w:b/>
          <w:sz w:val="36"/>
          <w:szCs w:val="36"/>
        </w:rPr>
        <w:t>安全对策措施与管理建议</w:t>
      </w:r>
      <w:bookmarkEnd w:id="126"/>
      <w:bookmarkEnd w:id="127"/>
    </w:p>
    <w:p>
      <w:pPr>
        <w:pStyle w:val="4"/>
        <w:adjustRightInd w:val="0"/>
        <w:snapToGrid w:val="0"/>
        <w:spacing w:before="0" w:after="0" w:line="360" w:lineRule="auto"/>
        <w:rPr>
          <w:rFonts w:ascii="Times New Roman" w:hAnsi="Times New Roman" w:eastAsia="楷体_GB2312"/>
          <w:sz w:val="28"/>
          <w:szCs w:val="28"/>
        </w:rPr>
      </w:pPr>
      <w:bookmarkStart w:id="128" w:name="_Toc281310754"/>
      <w:bookmarkStart w:id="129" w:name="_Toc24444"/>
      <w:r>
        <w:rPr>
          <w:rFonts w:ascii="Times New Roman" w:hAnsi="Times New Roman"/>
          <w:b w:val="0"/>
          <w:bCs/>
          <w:szCs w:val="32"/>
        </w:rPr>
        <w:t>6</w:t>
      </w:r>
      <w:r>
        <w:rPr>
          <w:rFonts w:hint="eastAsia" w:ascii="Times New Roman" w:hAnsi="Times New Roman"/>
          <w:b w:val="0"/>
          <w:bCs/>
          <w:szCs w:val="32"/>
        </w:rPr>
        <w:t xml:space="preserve">.1 </w:t>
      </w:r>
      <w:r>
        <w:rPr>
          <w:rFonts w:ascii="Times New Roman" w:hAnsi="Times New Roman"/>
          <w:b w:val="0"/>
          <w:bCs/>
          <w:szCs w:val="32"/>
        </w:rPr>
        <w:t xml:space="preserve"> </w:t>
      </w:r>
      <w:r>
        <w:rPr>
          <w:rFonts w:hint="eastAsia" w:ascii="Times New Roman" w:hAnsi="Times New Roman"/>
          <w:b w:val="0"/>
          <w:bCs/>
          <w:szCs w:val="32"/>
        </w:rPr>
        <w:t>安全对策措施</w:t>
      </w:r>
      <w:bookmarkEnd w:id="128"/>
      <w:bookmarkEnd w:id="129"/>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本次评价中发现的尚未完善或不符合要求的内容需整改如下</w:t>
      </w:r>
      <w:r>
        <w:rPr>
          <w:rFonts w:hint="eastAsia"/>
          <w:sz w:val="28"/>
          <w:szCs w:val="28"/>
          <w:lang w:eastAsia="zh-CN"/>
        </w:rPr>
        <w:t>：</w:t>
      </w:r>
    </w:p>
    <w:p>
      <w:pPr>
        <w:adjustRightInd w:val="0"/>
        <w:snapToGrid w:val="0"/>
        <w:spacing w:line="360" w:lineRule="auto"/>
        <w:ind w:firstLine="560" w:firstLineChars="200"/>
        <w:rPr>
          <w:sz w:val="28"/>
          <w:szCs w:val="28"/>
        </w:rPr>
      </w:pPr>
      <w:r>
        <w:rPr>
          <w:rFonts w:hint="eastAsia"/>
          <w:sz w:val="28"/>
          <w:szCs w:val="28"/>
          <w:lang w:val="en-US" w:eastAsia="zh-CN"/>
        </w:rPr>
        <w:t>1.现场正压式空气呼吸器、便携式硫化氢报警仪检查应保留记录痕迹</w:t>
      </w:r>
      <w:r>
        <w:rPr>
          <w:rFonts w:hint="eastAsia"/>
          <w:sz w:val="28"/>
          <w:szCs w:val="28"/>
        </w:rPr>
        <w:t>。</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2.按照要求配备注册安全工程从事安全管理工作；</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3.按照要求配备安全总监；</w:t>
      </w:r>
    </w:p>
    <w:p>
      <w:pPr>
        <w:adjustRightInd w:val="0"/>
        <w:snapToGrid w:val="0"/>
        <w:spacing w:line="360" w:lineRule="auto"/>
        <w:ind w:firstLine="560" w:firstLineChars="200"/>
        <w:rPr>
          <w:rFonts w:hint="default"/>
          <w:sz w:val="28"/>
          <w:szCs w:val="28"/>
          <w:lang w:val="en-US" w:eastAsia="zh-CN"/>
        </w:rPr>
      </w:pPr>
      <w:r>
        <w:rPr>
          <w:rFonts w:hint="eastAsia"/>
          <w:sz w:val="28"/>
          <w:szCs w:val="28"/>
          <w:lang w:val="en-US" w:eastAsia="zh-CN"/>
        </w:rPr>
        <w:t>4.劳动防护用品配备标准种类增加耳塞。</w:t>
      </w:r>
    </w:p>
    <w:p>
      <w:pPr>
        <w:adjustRightInd w:val="0"/>
        <w:snapToGrid w:val="0"/>
        <w:spacing w:line="360" w:lineRule="auto"/>
        <w:ind w:firstLine="560" w:firstLineChars="200"/>
        <w:rPr>
          <w:sz w:val="28"/>
          <w:szCs w:val="28"/>
        </w:rPr>
      </w:pPr>
      <w:r>
        <w:rPr>
          <w:rFonts w:hint="eastAsia"/>
          <w:sz w:val="28"/>
          <w:szCs w:val="28"/>
        </w:rPr>
        <w:t>企业整改情况见第</w:t>
      </w:r>
      <w:r>
        <w:rPr>
          <w:rFonts w:hint="eastAsia"/>
          <w:sz w:val="28"/>
          <w:szCs w:val="28"/>
          <w:lang w:val="en-US" w:eastAsia="zh-CN"/>
        </w:rPr>
        <w:t>7</w:t>
      </w:r>
      <w:r>
        <w:rPr>
          <w:rFonts w:hint="eastAsia"/>
          <w:sz w:val="28"/>
          <w:szCs w:val="28"/>
        </w:rPr>
        <w:t>章隐患整改复查情况。</w:t>
      </w:r>
      <w:bookmarkStart w:id="130" w:name="_Toc281310755"/>
    </w:p>
    <w:p>
      <w:pPr>
        <w:pStyle w:val="4"/>
        <w:adjustRightInd w:val="0"/>
        <w:snapToGrid w:val="0"/>
        <w:spacing w:before="0" w:after="0" w:line="360" w:lineRule="auto"/>
        <w:rPr>
          <w:rFonts w:ascii="Times New Roman" w:hAnsi="Times New Roman"/>
          <w:b w:val="0"/>
          <w:bCs/>
          <w:szCs w:val="32"/>
        </w:rPr>
      </w:pPr>
      <w:bookmarkStart w:id="131" w:name="_Toc16551"/>
      <w:r>
        <w:rPr>
          <w:rFonts w:ascii="Times New Roman" w:hAnsi="Times New Roman"/>
          <w:b w:val="0"/>
          <w:bCs/>
          <w:szCs w:val="32"/>
        </w:rPr>
        <w:t>6</w:t>
      </w:r>
      <w:r>
        <w:rPr>
          <w:rFonts w:hint="eastAsia" w:ascii="Times New Roman" w:hAnsi="Times New Roman"/>
          <w:b w:val="0"/>
          <w:bCs/>
          <w:szCs w:val="32"/>
        </w:rPr>
        <w:t xml:space="preserve">.2 </w:t>
      </w:r>
      <w:r>
        <w:rPr>
          <w:rFonts w:ascii="Times New Roman" w:hAnsi="Times New Roman"/>
          <w:b w:val="0"/>
          <w:bCs/>
          <w:szCs w:val="32"/>
        </w:rPr>
        <w:t xml:space="preserve"> </w:t>
      </w:r>
      <w:r>
        <w:rPr>
          <w:rFonts w:hint="eastAsia" w:ascii="Times New Roman" w:hAnsi="Times New Roman"/>
          <w:b w:val="0"/>
          <w:bCs/>
          <w:szCs w:val="32"/>
        </w:rPr>
        <w:t>安全管理建议</w:t>
      </w:r>
      <w:bookmarkEnd w:id="130"/>
      <w:bookmarkEnd w:id="131"/>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针对本次评价中发现的问题，提出以下建议措施</w:t>
      </w:r>
      <w:r>
        <w:rPr>
          <w:rFonts w:hint="eastAsia"/>
          <w:sz w:val="28"/>
          <w:szCs w:val="28"/>
          <w:lang w:eastAsia="zh-CN"/>
        </w:rPr>
        <w:t>：</w:t>
      </w:r>
    </w:p>
    <w:p>
      <w:pPr>
        <w:adjustRightInd w:val="0"/>
        <w:snapToGrid w:val="0"/>
        <w:spacing w:line="360" w:lineRule="auto"/>
        <w:ind w:firstLine="560" w:firstLineChars="200"/>
        <w:rPr>
          <w:sz w:val="28"/>
          <w:szCs w:val="28"/>
        </w:rPr>
      </w:pPr>
      <w:r>
        <w:rPr>
          <w:rFonts w:hint="eastAsia"/>
          <w:sz w:val="28"/>
          <w:szCs w:val="28"/>
        </w:rPr>
        <w:t>1.</w:t>
      </w:r>
      <w:r>
        <w:rPr>
          <w:rFonts w:hint="eastAsia" w:ascii="Times New Roman" w:hAnsi="Times New Roman" w:eastAsia="宋体" w:cs="Times New Roman"/>
          <w:color w:val="000000"/>
          <w:sz w:val="28"/>
          <w:szCs w:val="28"/>
          <w:highlight w:val="none"/>
        </w:rPr>
        <w:t>企业必须强化安全意识，加强安全监管，严格执行有关安全法律、法规、标准、规范。认真梳理《关于印发山东省生产经营单位全员安全生产责任清单的通知》（鲁安办发[2021]50号）中规定的全员安全生产责任清单，落实安全生产责任制，严格执行各项安全生产管理制度、安全规程</w:t>
      </w:r>
      <w:r>
        <w:rPr>
          <w:rFonts w:hint="eastAsia" w:ascii="Times New Roman" w:hAnsi="Times New Roman" w:eastAsia="宋体" w:cs="Times New Roman"/>
          <w:color w:val="000000"/>
          <w:sz w:val="28"/>
          <w:szCs w:val="28"/>
          <w:highlight w:val="none"/>
          <w:lang w:eastAsia="zh-CN"/>
        </w:rPr>
        <w:t>，</w:t>
      </w:r>
      <w:r>
        <w:rPr>
          <w:rFonts w:hint="eastAsia" w:ascii="Times New Roman" w:hAnsi="Times New Roman" w:eastAsia="宋体" w:cs="Times New Roman"/>
          <w:color w:val="000000"/>
          <w:sz w:val="28"/>
          <w:szCs w:val="28"/>
          <w:highlight w:val="none"/>
          <w:lang w:val="en-US" w:eastAsia="zh-CN"/>
        </w:rPr>
        <w:t>及时修订完善</w:t>
      </w:r>
      <w:r>
        <w:rPr>
          <w:rFonts w:hint="eastAsia"/>
          <w:sz w:val="28"/>
          <w:szCs w:val="28"/>
        </w:rPr>
        <w:t>。</w:t>
      </w:r>
    </w:p>
    <w:p>
      <w:pPr>
        <w:adjustRightInd w:val="0"/>
        <w:snapToGrid w:val="0"/>
        <w:spacing w:line="360" w:lineRule="auto"/>
        <w:ind w:firstLine="560" w:firstLineChars="200"/>
        <w:rPr>
          <w:rFonts w:hint="default" w:eastAsia="宋体"/>
          <w:sz w:val="28"/>
          <w:szCs w:val="28"/>
          <w:lang w:val="en-US" w:eastAsia="zh-CN"/>
        </w:rPr>
      </w:pPr>
      <w:r>
        <w:rPr>
          <w:rFonts w:hint="eastAsia"/>
          <w:sz w:val="28"/>
          <w:szCs w:val="28"/>
          <w:lang w:val="en-US" w:eastAsia="zh-CN"/>
        </w:rPr>
        <w:t>2.</w:t>
      </w:r>
      <w:r>
        <w:rPr>
          <w:rFonts w:hint="default" w:ascii="Times New Roman" w:hAnsi="Times New Roman" w:eastAsia="宋体" w:cs="Times New Roman"/>
          <w:caps w:val="0"/>
          <w:smallCaps w:val="0"/>
          <w:sz w:val="28"/>
          <w:szCs w:val="28"/>
        </w:rPr>
        <w:t>企业主要负责人、分管安全生产的负责人和安全生产管理人员，应当具备与所从事的生产经营活动相适应的安全生产知识和管理能力</w:t>
      </w:r>
      <w:r>
        <w:rPr>
          <w:rFonts w:hint="eastAsia" w:eastAsia="宋体" w:cs="Times New Roman"/>
          <w:caps w:val="0"/>
          <w:smallCaps w:val="0"/>
          <w:sz w:val="28"/>
          <w:szCs w:val="28"/>
          <w:lang w:eastAsia="zh-CN"/>
        </w:rPr>
        <w:t>，</w:t>
      </w:r>
      <w:r>
        <w:rPr>
          <w:rFonts w:hint="eastAsia"/>
          <w:sz w:val="28"/>
          <w:szCs w:val="28"/>
        </w:rPr>
        <w:t>由主管的负有安全生产监督管理职责的部门对其安全生产知识和管理能力考核合格</w:t>
      </w:r>
      <w:r>
        <w:rPr>
          <w:rFonts w:hint="eastAsia"/>
          <w:sz w:val="28"/>
          <w:szCs w:val="28"/>
          <w:lang w:val="en-US" w:eastAsia="zh-CN"/>
        </w:rPr>
        <w:t>后方可上岗。</w:t>
      </w:r>
    </w:p>
    <w:p>
      <w:pPr>
        <w:adjustRightInd w:val="0"/>
        <w:snapToGrid w:val="0"/>
        <w:spacing w:line="360" w:lineRule="auto"/>
        <w:ind w:firstLine="560" w:firstLineChars="200"/>
        <w:rPr>
          <w:sz w:val="28"/>
          <w:szCs w:val="28"/>
        </w:rPr>
      </w:pPr>
      <w:r>
        <w:rPr>
          <w:rFonts w:hint="eastAsia"/>
          <w:sz w:val="28"/>
          <w:szCs w:val="28"/>
          <w:lang w:val="en-US" w:eastAsia="zh-CN"/>
        </w:rPr>
        <w:t>3</w:t>
      </w:r>
      <w:r>
        <w:rPr>
          <w:rFonts w:hint="eastAsia"/>
          <w:sz w:val="28"/>
          <w:szCs w:val="28"/>
        </w:rPr>
        <w:t>.</w:t>
      </w:r>
      <w:r>
        <w:rPr>
          <w:rFonts w:hint="eastAsia"/>
          <w:color w:val="000000"/>
          <w:sz w:val="28"/>
          <w:szCs w:val="28"/>
          <w:highlight w:val="none"/>
        </w:rPr>
        <w:t>公司各种安全设施应有专人负责管理</w:t>
      </w:r>
      <w:r>
        <w:rPr>
          <w:rFonts w:hint="eastAsia"/>
          <w:color w:val="000000"/>
          <w:sz w:val="28"/>
          <w:szCs w:val="28"/>
          <w:highlight w:val="none"/>
          <w:lang w:eastAsia="zh-CN"/>
        </w:rPr>
        <w:t>，</w:t>
      </w:r>
      <w:r>
        <w:rPr>
          <w:rFonts w:hint="eastAsia"/>
          <w:color w:val="000000"/>
          <w:sz w:val="28"/>
          <w:szCs w:val="28"/>
          <w:highlight w:val="none"/>
        </w:rPr>
        <w:t>不得随意拆除、挪用或弃置不用</w:t>
      </w:r>
      <w:r>
        <w:rPr>
          <w:rFonts w:hint="eastAsia"/>
          <w:color w:val="000000"/>
          <w:sz w:val="28"/>
          <w:szCs w:val="28"/>
          <w:highlight w:val="none"/>
          <w:lang w:eastAsia="zh-CN"/>
        </w:rPr>
        <w:t>，</w:t>
      </w:r>
      <w:r>
        <w:rPr>
          <w:rFonts w:hint="eastAsia"/>
          <w:color w:val="000000"/>
          <w:sz w:val="28"/>
          <w:szCs w:val="28"/>
          <w:highlight w:val="none"/>
        </w:rPr>
        <w:t>按规定检查、检测和保养、维护。按照国家有关标准规范的要求</w:t>
      </w:r>
      <w:r>
        <w:rPr>
          <w:rFonts w:hint="eastAsia"/>
          <w:color w:val="000000"/>
          <w:sz w:val="28"/>
          <w:szCs w:val="28"/>
          <w:highlight w:val="none"/>
          <w:lang w:eastAsia="zh-CN"/>
        </w:rPr>
        <w:t>，</w:t>
      </w:r>
      <w:r>
        <w:rPr>
          <w:rFonts w:hint="eastAsia"/>
          <w:color w:val="000000"/>
          <w:sz w:val="28"/>
          <w:szCs w:val="28"/>
          <w:highlight w:val="none"/>
        </w:rPr>
        <w:t>对安全设施定期更新与改进</w:t>
      </w:r>
      <w:r>
        <w:rPr>
          <w:rFonts w:hint="eastAsia"/>
          <w:color w:val="000000"/>
          <w:sz w:val="28"/>
          <w:szCs w:val="28"/>
          <w:highlight w:val="none"/>
          <w:lang w:eastAsia="zh-CN"/>
        </w:rPr>
        <w:t>，</w:t>
      </w:r>
      <w:r>
        <w:rPr>
          <w:rFonts w:hint="eastAsia"/>
          <w:color w:val="000000"/>
          <w:sz w:val="28"/>
          <w:szCs w:val="28"/>
          <w:highlight w:val="none"/>
        </w:rPr>
        <w:t>确保安全设施齐全、有效</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lang w:val="en-US" w:eastAsia="zh-CN"/>
        </w:rPr>
        <w:t>4</w:t>
      </w:r>
      <w:r>
        <w:rPr>
          <w:rFonts w:hint="eastAsia"/>
          <w:sz w:val="28"/>
          <w:szCs w:val="28"/>
        </w:rPr>
        <w:t>.</w:t>
      </w:r>
      <w:r>
        <w:rPr>
          <w:rFonts w:hint="eastAsia"/>
          <w:color w:val="000000"/>
          <w:sz w:val="28"/>
          <w:szCs w:val="28"/>
          <w:highlight w:val="none"/>
        </w:rPr>
        <w:t>劳动防护用品定期检查、维护</w:t>
      </w:r>
      <w:r>
        <w:rPr>
          <w:rFonts w:hint="eastAsia"/>
          <w:color w:val="000000"/>
          <w:sz w:val="28"/>
          <w:szCs w:val="28"/>
          <w:highlight w:val="none"/>
          <w:lang w:eastAsia="zh-CN"/>
        </w:rPr>
        <w:t>，</w:t>
      </w:r>
      <w:r>
        <w:rPr>
          <w:rFonts w:hint="eastAsia"/>
          <w:color w:val="000000"/>
          <w:sz w:val="28"/>
          <w:szCs w:val="28"/>
          <w:highlight w:val="none"/>
        </w:rPr>
        <w:t>按照国家有关标准规范的要求</w:t>
      </w:r>
      <w:r>
        <w:rPr>
          <w:rFonts w:hint="eastAsia"/>
          <w:color w:val="000000"/>
          <w:sz w:val="28"/>
          <w:szCs w:val="28"/>
          <w:highlight w:val="none"/>
          <w:lang w:eastAsia="zh-CN"/>
        </w:rPr>
        <w:t>，</w:t>
      </w:r>
      <w:r>
        <w:rPr>
          <w:rFonts w:hint="eastAsia"/>
          <w:color w:val="000000"/>
          <w:sz w:val="28"/>
          <w:szCs w:val="28"/>
          <w:highlight w:val="none"/>
        </w:rPr>
        <w:t>对其定期更新与改进</w:t>
      </w:r>
      <w:r>
        <w:rPr>
          <w:rFonts w:hint="eastAsia"/>
          <w:color w:val="000000"/>
          <w:sz w:val="28"/>
          <w:szCs w:val="28"/>
          <w:highlight w:val="none"/>
          <w:lang w:eastAsia="zh-CN"/>
        </w:rPr>
        <w:t>，</w:t>
      </w:r>
      <w:r>
        <w:rPr>
          <w:rFonts w:hint="eastAsia"/>
          <w:color w:val="000000"/>
          <w:sz w:val="28"/>
          <w:szCs w:val="28"/>
          <w:highlight w:val="none"/>
        </w:rPr>
        <w:t>确保安全防护用品齐全、有效</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lang w:val="en-US" w:eastAsia="zh-CN"/>
        </w:rPr>
        <w:t>5</w:t>
      </w:r>
      <w:r>
        <w:rPr>
          <w:rFonts w:hint="eastAsia"/>
          <w:sz w:val="28"/>
          <w:szCs w:val="28"/>
        </w:rPr>
        <w:t>.应加强对作业人员的培训取证工作，</w:t>
      </w:r>
      <w:r>
        <w:rPr>
          <w:rFonts w:hint="eastAsia"/>
          <w:sz w:val="28"/>
          <w:szCs w:val="28"/>
          <w:lang w:val="en-US" w:eastAsia="zh-CN"/>
        </w:rPr>
        <w:t>按照</w:t>
      </w:r>
      <w:r>
        <w:rPr>
          <w:rFonts w:hint="eastAsia"/>
          <w:sz w:val="28"/>
        </w:rPr>
        <w:t>《生产经营单位安全培训规定》</w:t>
      </w:r>
      <w:r>
        <w:rPr>
          <w:rFonts w:hint="eastAsia"/>
          <w:sz w:val="28"/>
          <w:lang w:eastAsia="zh-CN"/>
        </w:rPr>
        <w:t>（</w:t>
      </w:r>
      <w:r>
        <w:rPr>
          <w:rFonts w:hint="eastAsia"/>
          <w:sz w:val="28"/>
        </w:rPr>
        <w:t>国家安全监督管理总局令[2006]第3号，2015修订版</w:t>
      </w:r>
      <w:r>
        <w:rPr>
          <w:rFonts w:hint="eastAsia"/>
          <w:sz w:val="28"/>
          <w:lang w:eastAsia="zh-CN"/>
        </w:rPr>
        <w:t>）</w:t>
      </w:r>
      <w:r>
        <w:rPr>
          <w:rFonts w:hint="eastAsia"/>
          <w:sz w:val="28"/>
          <w:lang w:val="en-US" w:eastAsia="zh-CN"/>
        </w:rPr>
        <w:t>等要求，</w:t>
      </w:r>
      <w:r>
        <w:rPr>
          <w:rFonts w:hint="eastAsia"/>
          <w:sz w:val="28"/>
          <w:szCs w:val="28"/>
        </w:rPr>
        <w:t>定期组织教育、练兵、应急演练等活动，以提高员工的安全意识和岗位操作技能。此外应掌握新入职员工与证书即将到期的员工的情况，及时进行相应岗位的培训并在取得相应资格证书后再安排进入井场作业。</w:t>
      </w:r>
    </w:p>
    <w:p>
      <w:pPr>
        <w:adjustRightInd w:val="0"/>
        <w:snapToGrid w:val="0"/>
        <w:spacing w:line="360" w:lineRule="auto"/>
        <w:ind w:firstLine="560" w:firstLineChars="200"/>
        <w:rPr>
          <w:rFonts w:hint="default" w:eastAsia="宋体"/>
          <w:sz w:val="28"/>
          <w:szCs w:val="28"/>
          <w:lang w:val="en-US" w:eastAsia="zh-CN"/>
        </w:rPr>
      </w:pPr>
      <w:r>
        <w:rPr>
          <w:rFonts w:hint="eastAsia"/>
          <w:sz w:val="28"/>
          <w:szCs w:val="28"/>
          <w:lang w:val="en-US" w:eastAsia="zh-CN"/>
        </w:rPr>
        <w:t>6.按照</w:t>
      </w:r>
      <w:r>
        <w:rPr>
          <w:rFonts w:hint="eastAsia"/>
          <w:sz w:val="28"/>
          <w:lang w:eastAsia="zh-CN"/>
        </w:rPr>
        <w:t>《</w:t>
      </w:r>
      <w:r>
        <w:rPr>
          <w:rFonts w:hint="eastAsia"/>
          <w:sz w:val="28"/>
          <w:lang w:val="en-US" w:eastAsia="zh-CN"/>
        </w:rPr>
        <w:t>山东省人民政府安全生产委员会关于规范和加强安全生产培训考核工作的指导意见》的要求，</w:t>
      </w:r>
      <w:r>
        <w:rPr>
          <w:rFonts w:hint="eastAsia"/>
          <w:sz w:val="28"/>
          <w:szCs w:val="28"/>
          <w:lang w:val="en-US" w:eastAsia="zh-CN"/>
        </w:rPr>
        <w:t>加强员工培训工作，在安全教育培训制度中增加“开工第一课”内容，并将“大学习、大培训、大考试”加入日常培训中。</w:t>
      </w:r>
    </w:p>
    <w:p>
      <w:pPr>
        <w:adjustRightInd w:val="0"/>
        <w:snapToGrid w:val="0"/>
        <w:spacing w:line="360" w:lineRule="auto"/>
        <w:ind w:firstLine="560" w:firstLineChars="200"/>
        <w:rPr>
          <w:sz w:val="28"/>
          <w:szCs w:val="28"/>
        </w:rPr>
      </w:pPr>
      <w:r>
        <w:rPr>
          <w:rFonts w:hint="eastAsia"/>
          <w:sz w:val="28"/>
          <w:szCs w:val="28"/>
          <w:lang w:val="en-US" w:eastAsia="zh-CN"/>
        </w:rPr>
        <w:t>7</w:t>
      </w:r>
      <w:r>
        <w:rPr>
          <w:rFonts w:hint="eastAsia"/>
          <w:sz w:val="28"/>
          <w:szCs w:val="28"/>
        </w:rPr>
        <w:t>.</w:t>
      </w:r>
      <w:r>
        <w:rPr>
          <w:rFonts w:hint="eastAsia"/>
          <w:sz w:val="28"/>
          <w:szCs w:val="28"/>
          <w:lang w:val="en-US" w:eastAsia="zh-CN"/>
        </w:rPr>
        <w:t>按照要求制定应急预案演练计划，</w:t>
      </w:r>
      <w:r>
        <w:rPr>
          <w:rFonts w:hint="eastAsia"/>
          <w:sz w:val="28"/>
          <w:szCs w:val="28"/>
        </w:rPr>
        <w:t>做好应急救援预案的演练记录，演练后，对预案进行评估，找出存在不足和缺陷并进行修改。</w:t>
      </w:r>
    </w:p>
    <w:p>
      <w:pPr>
        <w:adjustRightInd w:val="0"/>
        <w:snapToGrid w:val="0"/>
        <w:spacing w:line="360" w:lineRule="auto"/>
        <w:ind w:firstLine="560" w:firstLineChars="200"/>
        <w:rPr>
          <w:sz w:val="28"/>
          <w:szCs w:val="28"/>
        </w:rPr>
      </w:pPr>
      <w:r>
        <w:rPr>
          <w:rFonts w:hint="eastAsia"/>
          <w:sz w:val="28"/>
          <w:szCs w:val="28"/>
          <w:lang w:val="en-US" w:eastAsia="zh-CN"/>
        </w:rPr>
        <w:t>8</w:t>
      </w:r>
      <w:r>
        <w:rPr>
          <w:rFonts w:hint="eastAsia"/>
          <w:sz w:val="28"/>
          <w:szCs w:val="28"/>
        </w:rPr>
        <w:t>.加强应急预案完善修订工作</w:t>
      </w:r>
      <w:r>
        <w:rPr>
          <w:rFonts w:hint="eastAsia"/>
          <w:sz w:val="28"/>
          <w:szCs w:val="28"/>
          <w:lang w:eastAsia="zh-CN"/>
        </w:rPr>
        <w:t>，</w:t>
      </w:r>
      <w:r>
        <w:rPr>
          <w:rFonts w:hint="eastAsia"/>
          <w:sz w:val="28"/>
          <w:szCs w:val="28"/>
        </w:rPr>
        <w:t>异地作业时，与当地的医疗、消防等单位签订救护协议，明确相关部门、单位、人员的责任和关系。</w:t>
      </w:r>
    </w:p>
    <w:p>
      <w:pPr>
        <w:adjustRightInd w:val="0"/>
        <w:snapToGrid w:val="0"/>
        <w:spacing w:line="360" w:lineRule="auto"/>
        <w:ind w:firstLine="560" w:firstLineChars="200"/>
        <w:rPr>
          <w:sz w:val="28"/>
          <w:szCs w:val="28"/>
        </w:rPr>
      </w:pPr>
      <w:r>
        <w:rPr>
          <w:rFonts w:hint="eastAsia"/>
          <w:sz w:val="28"/>
          <w:szCs w:val="28"/>
          <w:lang w:val="en-US" w:eastAsia="zh-CN"/>
        </w:rPr>
        <w:t>9</w:t>
      </w:r>
      <w:r>
        <w:rPr>
          <w:rFonts w:hint="eastAsia"/>
          <w:sz w:val="28"/>
          <w:szCs w:val="28"/>
        </w:rPr>
        <w:t>.</w:t>
      </w:r>
      <w:r>
        <w:rPr>
          <w:rFonts w:hint="eastAsia"/>
          <w:color w:val="000000"/>
          <w:sz w:val="28"/>
          <w:szCs w:val="28"/>
          <w:highlight w:val="none"/>
        </w:rPr>
        <w:t>公司应对消防设施、防雷防静电系统进行定期检查、检测</w:t>
      </w:r>
      <w:r>
        <w:rPr>
          <w:rFonts w:hint="eastAsia"/>
          <w:sz w:val="28"/>
          <w:szCs w:val="28"/>
        </w:rPr>
        <w:t>。</w:t>
      </w:r>
    </w:p>
    <w:p>
      <w:pPr>
        <w:adjustRightInd w:val="0"/>
        <w:snapToGrid w:val="0"/>
        <w:spacing w:line="360" w:lineRule="auto"/>
        <w:ind w:firstLine="560" w:firstLineChars="200"/>
        <w:rPr>
          <w:sz w:val="28"/>
          <w:szCs w:val="28"/>
        </w:rPr>
      </w:pPr>
      <w:r>
        <w:rPr>
          <w:rFonts w:hint="eastAsia"/>
          <w:sz w:val="28"/>
          <w:szCs w:val="28"/>
          <w:lang w:val="en-US" w:eastAsia="zh-CN"/>
        </w:rPr>
        <w:t>10</w:t>
      </w:r>
      <w:r>
        <w:rPr>
          <w:rFonts w:hint="eastAsia"/>
          <w:sz w:val="28"/>
          <w:szCs w:val="28"/>
        </w:rPr>
        <w:t>.与其他队伍协同作业时，建议双方签订安全管理协议，明确责任和义务，加强作业过程中的安全管理。</w:t>
      </w:r>
    </w:p>
    <w:p>
      <w:pPr>
        <w:adjustRightInd w:val="0"/>
        <w:snapToGrid w:val="0"/>
        <w:spacing w:line="360" w:lineRule="auto"/>
        <w:ind w:firstLine="560" w:firstLineChars="200"/>
        <w:rPr>
          <w:sz w:val="28"/>
          <w:szCs w:val="28"/>
        </w:rPr>
      </w:pPr>
      <w:r>
        <w:rPr>
          <w:rFonts w:hint="eastAsia"/>
          <w:sz w:val="28"/>
          <w:szCs w:val="28"/>
        </w:rPr>
        <w:t>1</w:t>
      </w:r>
      <w:r>
        <w:rPr>
          <w:rFonts w:hint="eastAsia"/>
          <w:sz w:val="28"/>
          <w:szCs w:val="28"/>
          <w:lang w:val="en-US" w:eastAsia="zh-CN"/>
        </w:rPr>
        <w:t>1</w:t>
      </w:r>
      <w:r>
        <w:rPr>
          <w:rFonts w:hint="eastAsia"/>
          <w:sz w:val="28"/>
          <w:szCs w:val="28"/>
        </w:rPr>
        <w:t>.作业时要严格按照操作规程和安全管理规定的内容进行，确保人员安全，防止污染环境；佩戴好劳保用品，防止对人员伤害及环境污染。</w:t>
      </w:r>
    </w:p>
    <w:p>
      <w:pPr>
        <w:adjustRightInd w:val="0"/>
        <w:snapToGrid w:val="0"/>
        <w:spacing w:line="360" w:lineRule="auto"/>
        <w:ind w:firstLine="560" w:firstLineChars="200"/>
        <w:rPr>
          <w:sz w:val="28"/>
          <w:szCs w:val="28"/>
        </w:rPr>
      </w:pPr>
      <w:r>
        <w:rPr>
          <w:rFonts w:hint="eastAsia"/>
          <w:sz w:val="28"/>
          <w:szCs w:val="28"/>
        </w:rPr>
        <w:t>1</w:t>
      </w:r>
      <w:r>
        <w:rPr>
          <w:rFonts w:hint="eastAsia"/>
          <w:sz w:val="28"/>
          <w:szCs w:val="28"/>
          <w:lang w:val="en-US" w:eastAsia="zh-CN"/>
        </w:rPr>
        <w:t>2</w:t>
      </w:r>
      <w:r>
        <w:rPr>
          <w:rFonts w:hint="eastAsia"/>
          <w:sz w:val="28"/>
          <w:szCs w:val="28"/>
        </w:rPr>
        <w:t>.作业期间，现场应统一指挥，明确施工的设计要求、地下情况、地面设备及技术要求，落实各项安全防范措施。在生产过程中，将安全生产的相关资料分类归档保存，主要包括作业人员名册、工作日志、培训记录、事故和险情记录、安全设备维修记录情况等。</w:t>
      </w:r>
    </w:p>
    <w:p>
      <w:pPr>
        <w:adjustRightInd w:val="0"/>
        <w:snapToGrid w:val="0"/>
        <w:spacing w:line="360" w:lineRule="auto"/>
        <w:ind w:firstLine="560" w:firstLineChars="200"/>
        <w:rPr>
          <w:sz w:val="28"/>
          <w:szCs w:val="28"/>
        </w:rPr>
      </w:pPr>
      <w:r>
        <w:rPr>
          <w:rFonts w:hint="eastAsia"/>
          <w:sz w:val="28"/>
          <w:szCs w:val="28"/>
        </w:rPr>
        <w:t>1</w:t>
      </w:r>
      <w:r>
        <w:rPr>
          <w:rFonts w:hint="eastAsia"/>
          <w:sz w:val="28"/>
          <w:szCs w:val="28"/>
          <w:lang w:val="en-US" w:eastAsia="zh-CN"/>
        </w:rPr>
        <w:t>3</w:t>
      </w:r>
      <w:r>
        <w:rPr>
          <w:rFonts w:hint="eastAsia"/>
          <w:sz w:val="28"/>
          <w:szCs w:val="28"/>
        </w:rPr>
        <w:t>.对施工作业设备设施进行进行定期检测、探伤及更新，</w:t>
      </w:r>
      <w:r>
        <w:rPr>
          <w:rFonts w:hint="eastAsia"/>
          <w:sz w:val="28"/>
          <w:szCs w:val="28"/>
          <w:lang w:val="en-US" w:eastAsia="zh-CN"/>
        </w:rPr>
        <w:t>各项目部开工前，配备足够数量的气体检测报警器</w:t>
      </w:r>
      <w:r>
        <w:rPr>
          <w:rFonts w:hint="eastAsia"/>
          <w:sz w:val="28"/>
          <w:szCs w:val="28"/>
        </w:rPr>
        <w:t>和</w:t>
      </w:r>
      <w:r>
        <w:rPr>
          <w:rFonts w:hint="eastAsia"/>
          <w:sz w:val="28"/>
          <w:szCs w:val="28"/>
          <w:lang w:val="en-US" w:eastAsia="zh-CN"/>
        </w:rPr>
        <w:t>正压式空气呼吸器</w:t>
      </w:r>
      <w:r>
        <w:rPr>
          <w:rFonts w:hint="eastAsia"/>
          <w:sz w:val="28"/>
          <w:szCs w:val="28"/>
        </w:rPr>
        <w:t>等防护设施</w:t>
      </w:r>
      <w:r>
        <w:rPr>
          <w:rFonts w:hint="eastAsia"/>
          <w:sz w:val="28"/>
          <w:szCs w:val="28"/>
          <w:lang w:val="en-US" w:eastAsia="zh-CN"/>
        </w:rPr>
        <w:t>并</w:t>
      </w:r>
      <w:r>
        <w:rPr>
          <w:rFonts w:hint="eastAsia"/>
          <w:sz w:val="28"/>
          <w:szCs w:val="28"/>
        </w:rPr>
        <w:t>定期校验，</w:t>
      </w:r>
      <w:r>
        <w:rPr>
          <w:rFonts w:hint="eastAsia"/>
          <w:sz w:val="28"/>
          <w:szCs w:val="28"/>
          <w:lang w:val="en-US" w:eastAsia="zh-CN"/>
        </w:rPr>
        <w:t>确保</w:t>
      </w:r>
      <w:r>
        <w:rPr>
          <w:rFonts w:hint="eastAsia"/>
          <w:sz w:val="28"/>
          <w:szCs w:val="28"/>
        </w:rPr>
        <w:t>设备设施</w:t>
      </w:r>
      <w:r>
        <w:rPr>
          <w:rFonts w:hint="eastAsia"/>
          <w:sz w:val="28"/>
          <w:szCs w:val="28"/>
          <w:lang w:val="en-US" w:eastAsia="zh-CN"/>
        </w:rPr>
        <w:t>与</w:t>
      </w:r>
      <w:r>
        <w:rPr>
          <w:rFonts w:hint="eastAsia"/>
          <w:sz w:val="28"/>
          <w:szCs w:val="28"/>
        </w:rPr>
        <w:t>防护</w:t>
      </w:r>
      <w:r>
        <w:rPr>
          <w:rFonts w:hint="eastAsia"/>
          <w:sz w:val="28"/>
          <w:szCs w:val="28"/>
          <w:lang w:val="en-US" w:eastAsia="zh-CN"/>
        </w:rPr>
        <w:t>设施的</w:t>
      </w:r>
      <w:r>
        <w:rPr>
          <w:rFonts w:hint="eastAsia"/>
          <w:sz w:val="28"/>
          <w:szCs w:val="28"/>
        </w:rPr>
        <w:t>完好可靠。</w:t>
      </w:r>
    </w:p>
    <w:p>
      <w:pPr>
        <w:adjustRightInd w:val="0"/>
        <w:snapToGrid w:val="0"/>
        <w:spacing w:line="360" w:lineRule="auto"/>
        <w:ind w:firstLine="560" w:firstLineChars="200"/>
        <w:rPr>
          <w:rFonts w:hint="eastAsia" w:eastAsia="宋体"/>
          <w:sz w:val="28"/>
          <w:szCs w:val="28"/>
          <w:lang w:eastAsia="zh-CN"/>
        </w:rPr>
      </w:pPr>
      <w:r>
        <w:rPr>
          <w:rFonts w:hint="eastAsia"/>
          <w:sz w:val="28"/>
          <w:szCs w:val="28"/>
        </w:rPr>
        <w:t>1</w:t>
      </w:r>
      <w:r>
        <w:rPr>
          <w:rFonts w:hint="eastAsia"/>
          <w:sz w:val="28"/>
          <w:szCs w:val="28"/>
          <w:lang w:val="en-US" w:eastAsia="zh-CN"/>
        </w:rPr>
        <w:t>4</w:t>
      </w:r>
      <w:r>
        <w:rPr>
          <w:sz w:val="28"/>
          <w:szCs w:val="28"/>
        </w:rPr>
        <w:t>.</w:t>
      </w:r>
      <w:r>
        <w:rPr>
          <w:rFonts w:hint="eastAsia"/>
          <w:snapToGrid w:val="0"/>
          <w:kern w:val="0"/>
          <w:sz w:val="28"/>
          <w:szCs w:val="28"/>
        </w:rPr>
        <w:t>建立安全投入的长效机制，</w:t>
      </w:r>
      <w:r>
        <w:rPr>
          <w:snapToGrid w:val="0"/>
          <w:kern w:val="0"/>
          <w:sz w:val="28"/>
          <w:szCs w:val="28"/>
        </w:rPr>
        <w:t>生产经营单位应当确保本单位具备安全生产条件所必需的资金投入，安全生产资金投入纳入年度生产经营计划和财务预算，不得挪作他用</w:t>
      </w:r>
      <w:r>
        <w:rPr>
          <w:rFonts w:hint="eastAsia"/>
          <w:snapToGrid w:val="0"/>
          <w:kern w:val="0"/>
          <w:sz w:val="28"/>
          <w:szCs w:val="28"/>
          <w:lang w:eastAsia="zh-CN"/>
        </w:rPr>
        <w:t>。</w:t>
      </w:r>
    </w:p>
    <w:p>
      <w:pPr>
        <w:adjustRightInd w:val="0"/>
        <w:snapToGrid w:val="0"/>
        <w:spacing w:line="360" w:lineRule="auto"/>
        <w:ind w:firstLine="560" w:firstLineChars="200"/>
        <w:rPr>
          <w:sz w:val="28"/>
          <w:szCs w:val="28"/>
        </w:rPr>
      </w:pPr>
      <w:r>
        <w:rPr>
          <w:sz w:val="28"/>
          <w:szCs w:val="28"/>
        </w:rPr>
        <w:t>1</w:t>
      </w:r>
      <w:r>
        <w:rPr>
          <w:rFonts w:hint="eastAsia"/>
          <w:sz w:val="28"/>
          <w:szCs w:val="28"/>
          <w:lang w:val="en-US" w:eastAsia="zh-CN"/>
        </w:rPr>
        <w:t>5</w:t>
      </w:r>
      <w:r>
        <w:rPr>
          <w:sz w:val="28"/>
          <w:szCs w:val="28"/>
        </w:rPr>
        <w:t>.</w:t>
      </w:r>
      <w:r>
        <w:rPr>
          <w:rFonts w:hint="eastAsia"/>
          <w:sz w:val="28"/>
          <w:szCs w:val="28"/>
        </w:rPr>
        <w:t>完善安全生产风险分级管控制度，定期进行安全生产风险排查，对排查出的风险点按照危险性确定风险等级，对风险点进行公告警示，并采取相应的风险管控措施，实现风险的动态管理。</w:t>
      </w:r>
    </w:p>
    <w:p>
      <w:pPr>
        <w:adjustRightInd w:val="0"/>
        <w:snapToGrid w:val="0"/>
        <w:spacing w:line="360" w:lineRule="auto"/>
        <w:ind w:firstLine="560" w:firstLineChars="200"/>
        <w:rPr>
          <w:rFonts w:hint="eastAsia"/>
          <w:sz w:val="28"/>
          <w:szCs w:val="28"/>
        </w:rPr>
      </w:pPr>
      <w:r>
        <w:rPr>
          <w:rFonts w:hint="eastAsia"/>
          <w:sz w:val="28"/>
          <w:szCs w:val="28"/>
        </w:rPr>
        <w:t>1</w:t>
      </w:r>
      <w:r>
        <w:rPr>
          <w:rFonts w:hint="eastAsia"/>
          <w:sz w:val="28"/>
          <w:szCs w:val="28"/>
          <w:lang w:val="en-US" w:eastAsia="zh-CN"/>
        </w:rPr>
        <w:t>6</w:t>
      </w:r>
      <w:r>
        <w:rPr>
          <w:sz w:val="28"/>
          <w:szCs w:val="28"/>
        </w:rPr>
        <w:t>.</w:t>
      </w:r>
      <w:r>
        <w:rPr>
          <w:rFonts w:hint="eastAsia"/>
          <w:sz w:val="28"/>
          <w:szCs w:val="28"/>
        </w:rPr>
        <w:t>根据《非煤矿山企业安全生产风险分级管控体系细则》（DB37/T 2972-2017）、《非煤矿山企业生产安全事故隐患排查治理体系细则》（DB37/T 3013-2017）、《陆上石油和天然气开采企业安全生产风险分级管控体系建设实施指南》（</w:t>
      </w:r>
      <w:r>
        <w:rPr>
          <w:sz w:val="28"/>
          <w:szCs w:val="28"/>
        </w:rPr>
        <w:t>DB 37/T 3331</w:t>
      </w:r>
      <w:r>
        <w:rPr>
          <w:rFonts w:hint="eastAsia"/>
          <w:sz w:val="28"/>
          <w:szCs w:val="28"/>
        </w:rPr>
        <w:t>-</w:t>
      </w:r>
      <w:r>
        <w:rPr>
          <w:sz w:val="28"/>
          <w:szCs w:val="28"/>
        </w:rPr>
        <w:t>2018</w:t>
      </w:r>
      <w:r>
        <w:rPr>
          <w:rFonts w:hint="eastAsia"/>
          <w:sz w:val="28"/>
          <w:szCs w:val="28"/>
        </w:rPr>
        <w:t>）《陆上石油和天然气开采企业生产安全事故隐患排查治理体系建设实施指南》（</w:t>
      </w:r>
      <w:r>
        <w:rPr>
          <w:sz w:val="28"/>
          <w:szCs w:val="28"/>
        </w:rPr>
        <w:t>DB 37/T 3332</w:t>
      </w:r>
      <w:r>
        <w:rPr>
          <w:rFonts w:hint="eastAsia"/>
          <w:sz w:val="28"/>
          <w:szCs w:val="28"/>
        </w:rPr>
        <w:t>-</w:t>
      </w:r>
      <w:r>
        <w:rPr>
          <w:sz w:val="28"/>
          <w:szCs w:val="28"/>
        </w:rPr>
        <w:t>2018</w:t>
      </w:r>
      <w:r>
        <w:rPr>
          <w:rFonts w:hint="eastAsia"/>
          <w:sz w:val="28"/>
          <w:szCs w:val="28"/>
        </w:rPr>
        <w:t>）的要求，生产经营单位应按照企业实际情况不断完善风险分级管控和隐患排查治理体系，应当建立安全生产风险管理机制，定期进行安全生产风险排查，对排查出的风险点按照危险性确定风险等级，并采取相应的风险管控措施，对风险点进行公告警示。</w:t>
      </w:r>
    </w:p>
    <w:p>
      <w:pPr>
        <w:adjustRightInd w:val="0"/>
        <w:snapToGrid w:val="0"/>
        <w:spacing w:line="360" w:lineRule="auto"/>
        <w:ind w:firstLine="560" w:firstLineChars="200"/>
        <w:rPr>
          <w:sz w:val="28"/>
          <w:szCs w:val="28"/>
        </w:rPr>
      </w:pPr>
      <w:r>
        <w:rPr>
          <w:sz w:val="28"/>
          <w:szCs w:val="28"/>
        </w:rPr>
        <w:t>1</w:t>
      </w:r>
      <w:r>
        <w:rPr>
          <w:rFonts w:hint="eastAsia"/>
          <w:sz w:val="28"/>
          <w:szCs w:val="28"/>
          <w:lang w:val="en-US" w:eastAsia="zh-CN"/>
        </w:rPr>
        <w:t>7</w:t>
      </w:r>
      <w:r>
        <w:rPr>
          <w:sz w:val="28"/>
          <w:szCs w:val="28"/>
        </w:rPr>
        <w:t>.</w:t>
      </w:r>
      <w:r>
        <w:rPr>
          <w:rFonts w:hint="eastAsia"/>
          <w:sz w:val="28"/>
          <w:szCs w:val="28"/>
          <w:lang w:val="en-US" w:eastAsia="zh-CN"/>
        </w:rPr>
        <w:t>根据《山东省生产安全事故隐患排查治理办法》（山东省人民政府令第347号）</w:t>
      </w:r>
      <w:r>
        <w:rPr>
          <w:rFonts w:hint="eastAsia"/>
          <w:sz w:val="28"/>
          <w:szCs w:val="28"/>
        </w:rPr>
        <w:t>完善生产安全事故隐患排查治理</w:t>
      </w:r>
      <w:r>
        <w:rPr>
          <w:rFonts w:hint="eastAsia"/>
          <w:sz w:val="28"/>
          <w:szCs w:val="28"/>
          <w:lang w:val="en-US" w:eastAsia="zh-CN"/>
        </w:rPr>
        <w:t>工作</w:t>
      </w:r>
      <w:r>
        <w:rPr>
          <w:rFonts w:hint="eastAsia"/>
          <w:sz w:val="28"/>
          <w:szCs w:val="28"/>
        </w:rPr>
        <w:t>。</w:t>
      </w:r>
    </w:p>
    <w:p>
      <w:pPr>
        <w:adjustRightInd w:val="0"/>
        <w:snapToGrid w:val="0"/>
        <w:spacing w:line="360" w:lineRule="auto"/>
        <w:ind w:firstLine="560" w:firstLineChars="200"/>
        <w:rPr>
          <w:rFonts w:hint="eastAsia" w:cs="Times New Roman"/>
          <w:sz w:val="28"/>
          <w:szCs w:val="28"/>
          <w:lang w:val="en-US" w:eastAsia="zh-CN"/>
        </w:rPr>
      </w:pPr>
      <w:r>
        <w:rPr>
          <w:rFonts w:hint="eastAsia" w:ascii="Times New Roman" w:hAnsi="Times New Roman" w:eastAsia="宋体" w:cs="Times New Roman"/>
          <w:sz w:val="28"/>
          <w:szCs w:val="28"/>
          <w:lang w:val="en-US" w:eastAsia="zh-CN"/>
        </w:rPr>
        <w:t>18.</w:t>
      </w:r>
      <w:r>
        <w:rPr>
          <w:rFonts w:hint="eastAsia" w:ascii="Times New Roman" w:hAnsi="Times New Roman" w:eastAsia="宋体" w:cs="Times New Roman"/>
          <w:sz w:val="28"/>
          <w:szCs w:val="28"/>
          <w:lang w:eastAsia="zh-Hans"/>
        </w:rPr>
        <w:t>按照《山东省企业安全生产</w:t>
      </w:r>
      <w:r>
        <w:rPr>
          <w:rFonts w:hint="eastAsia" w:cs="Times New Roman"/>
          <w:sz w:val="28"/>
          <w:szCs w:val="28"/>
          <w:lang w:eastAsia="zh-CN"/>
        </w:rPr>
        <w:t>“</w:t>
      </w:r>
      <w:r>
        <w:rPr>
          <w:rFonts w:hint="eastAsia" w:ascii="Times New Roman" w:hAnsi="Times New Roman" w:eastAsia="宋体" w:cs="Times New Roman"/>
          <w:sz w:val="28"/>
          <w:szCs w:val="28"/>
          <w:lang w:eastAsia="zh-Hans"/>
        </w:rPr>
        <w:t>晨会</w:t>
      </w:r>
      <w:r>
        <w:rPr>
          <w:rFonts w:hint="eastAsia" w:cs="Times New Roman"/>
          <w:sz w:val="28"/>
          <w:szCs w:val="28"/>
          <w:lang w:eastAsia="zh-CN"/>
        </w:rPr>
        <w:t>”</w:t>
      </w:r>
      <w:r>
        <w:rPr>
          <w:rFonts w:hint="eastAsia" w:ascii="Times New Roman" w:hAnsi="Times New Roman" w:eastAsia="宋体" w:cs="Times New Roman"/>
          <w:sz w:val="28"/>
          <w:szCs w:val="28"/>
          <w:lang w:eastAsia="zh-Hans"/>
        </w:rPr>
        <w:t>制度规范（试行）》补充完善安全生产会议制度</w:t>
      </w:r>
      <w:r>
        <w:rPr>
          <w:rFonts w:hint="eastAsia" w:cs="Times New Roman"/>
          <w:sz w:val="28"/>
          <w:szCs w:val="28"/>
          <w:lang w:val="en-US" w:eastAsia="zh-CN"/>
        </w:rPr>
        <w:t>。</w:t>
      </w:r>
    </w:p>
    <w:p>
      <w:pPr>
        <w:adjustRightInd w:val="0"/>
        <w:snapToGrid w:val="0"/>
        <w:spacing w:line="360" w:lineRule="auto"/>
        <w:ind w:firstLine="560" w:firstLineChars="200"/>
        <w:rPr>
          <w:rFonts w:hint="eastAsia" w:ascii="Times New Roman" w:hAnsi="Times New Roman" w:eastAsia="宋体" w:cs="Times New Roman"/>
          <w:sz w:val="28"/>
          <w:szCs w:val="28"/>
          <w:lang w:val="en-US" w:eastAsia="zh-CN"/>
        </w:rPr>
      </w:pPr>
    </w:p>
    <w:p>
      <w:pPr>
        <w:adjustRightInd w:val="0"/>
        <w:snapToGrid w:val="0"/>
        <w:spacing w:line="360" w:lineRule="auto"/>
        <w:ind w:firstLine="560" w:firstLineChars="200"/>
        <w:rPr>
          <w:sz w:val="28"/>
          <w:szCs w:val="28"/>
        </w:rPr>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3"/>
        <w:adjustRightInd w:val="0"/>
        <w:snapToGrid w:val="0"/>
        <w:spacing w:line="360" w:lineRule="auto"/>
        <w:rPr>
          <w:rFonts w:eastAsia="楷体_GB2312"/>
          <w:b/>
          <w:sz w:val="36"/>
          <w:szCs w:val="36"/>
        </w:rPr>
      </w:pPr>
      <w:bookmarkStart w:id="132" w:name="_Toc299030734"/>
      <w:bookmarkStart w:id="133" w:name="_Toc297764496"/>
      <w:bookmarkStart w:id="134" w:name="_Toc23474"/>
      <w:bookmarkStart w:id="135" w:name="_Toc281310756"/>
      <w:r>
        <w:rPr>
          <w:rFonts w:hint="eastAsia" w:eastAsia="楷体_GB2312"/>
          <w:b/>
          <w:sz w:val="36"/>
          <w:szCs w:val="36"/>
          <w:lang w:val="en-US" w:eastAsia="zh-CN"/>
        </w:rPr>
        <w:t>7</w:t>
      </w:r>
      <w:r>
        <w:rPr>
          <w:rFonts w:hint="eastAsia" w:eastAsia="楷体_GB2312"/>
          <w:b/>
          <w:sz w:val="36"/>
          <w:szCs w:val="36"/>
        </w:rPr>
        <w:t xml:space="preserve"> </w:t>
      </w:r>
      <w:r>
        <w:rPr>
          <w:rFonts w:eastAsia="楷体_GB2312"/>
          <w:b/>
          <w:sz w:val="36"/>
          <w:szCs w:val="36"/>
        </w:rPr>
        <w:t xml:space="preserve"> </w:t>
      </w:r>
      <w:r>
        <w:rPr>
          <w:rFonts w:hint="eastAsia" w:eastAsia="楷体_GB2312"/>
          <w:b/>
          <w:sz w:val="36"/>
          <w:szCs w:val="36"/>
        </w:rPr>
        <w:t>隐患整改复查情况</w:t>
      </w:r>
      <w:bookmarkEnd w:id="132"/>
      <w:bookmarkEnd w:id="133"/>
      <w:bookmarkEnd w:id="134"/>
    </w:p>
    <w:p>
      <w:pPr>
        <w:adjustRightInd w:val="0"/>
        <w:snapToGrid w:val="0"/>
        <w:spacing w:line="360" w:lineRule="auto"/>
        <w:ind w:firstLine="560" w:firstLineChars="200"/>
        <w:rPr>
          <w:rFonts w:hint="eastAsia"/>
          <w:sz w:val="28"/>
          <w:szCs w:val="28"/>
          <w:lang w:eastAsia="zh-CN"/>
        </w:rPr>
      </w:pPr>
      <w:r>
        <w:rPr>
          <w:sz w:val="28"/>
          <w:szCs w:val="28"/>
        </w:rPr>
        <w:t>企业接受了本评价组提出的整改建议，对存在的问题进行了整改，本评价组对企业整改情况进行了现场复查，整改复查情况见表</w:t>
      </w:r>
      <w:r>
        <w:rPr>
          <w:rFonts w:hint="eastAsia"/>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eastAsia="宋体"/>
          <w:sz w:val="28"/>
          <w:szCs w:val="28"/>
          <w:lang w:val="en-US" w:eastAsia="zh-CN"/>
        </w:rPr>
      </w:pPr>
      <w:r>
        <w:rPr>
          <w:rFonts w:hint="default"/>
          <w:b/>
          <w:sz w:val="24"/>
          <w:szCs w:val="28"/>
        </w:rPr>
        <w:t>表</w:t>
      </w:r>
      <w:r>
        <w:rPr>
          <w:rFonts w:hint="eastAsia"/>
          <w:b/>
          <w:sz w:val="24"/>
          <w:szCs w:val="28"/>
          <w:lang w:val="en-US" w:eastAsia="zh-CN"/>
        </w:rPr>
        <w:t>7</w:t>
      </w:r>
      <w:r>
        <w:rPr>
          <w:rFonts w:hint="default"/>
          <w:b/>
          <w:sz w:val="24"/>
          <w:szCs w:val="28"/>
        </w:rPr>
        <w:t xml:space="preserve">-1 </w:t>
      </w:r>
      <w:r>
        <w:rPr>
          <w:rFonts w:hint="eastAsia"/>
          <w:b/>
          <w:sz w:val="24"/>
          <w:szCs w:val="28"/>
          <w:lang w:val="en-US" w:eastAsia="zh-CN"/>
        </w:rPr>
        <w:t>企业隐患整改复查表</w:t>
      </w:r>
    </w:p>
    <w:tbl>
      <w:tblPr>
        <w:tblStyle w:val="5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587"/>
        <w:gridCol w:w="2745"/>
        <w:gridCol w:w="3050"/>
        <w:gridCol w:w="7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0" w:type="pc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序号</w:t>
            </w:r>
          </w:p>
        </w:tc>
        <w:tc>
          <w:tcPr>
            <w:tcW w:w="932" w:type="pc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存在问题</w:t>
            </w:r>
          </w:p>
        </w:tc>
        <w:tc>
          <w:tcPr>
            <w:tcW w:w="1611" w:type="pct"/>
            <w:tcBorders>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default"/>
                <w:b/>
                <w:bCs/>
                <w:szCs w:val="21"/>
              </w:rPr>
              <w:t>整改</w:t>
            </w:r>
            <w:r>
              <w:rPr>
                <w:rFonts w:hint="eastAsia"/>
                <w:b/>
                <w:bCs/>
                <w:szCs w:val="21"/>
              </w:rPr>
              <w:t>情况</w:t>
            </w:r>
          </w:p>
        </w:tc>
        <w:tc>
          <w:tcPr>
            <w:tcW w:w="1790" w:type="pct"/>
            <w:tcBorders>
              <w:lef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bCs/>
                <w:szCs w:val="21"/>
                <w:lang w:val="en-US" w:eastAsia="zh-CN"/>
              </w:rPr>
            </w:pPr>
            <w:r>
              <w:rPr>
                <w:rFonts w:hint="eastAsia"/>
                <w:b/>
                <w:bCs/>
                <w:szCs w:val="21"/>
                <w:lang w:val="en-US" w:eastAsia="zh-CN"/>
              </w:rPr>
              <w:t>整改照片</w:t>
            </w:r>
          </w:p>
        </w:tc>
        <w:tc>
          <w:tcPr>
            <w:tcW w:w="414" w:type="pct"/>
            <w:vAlign w:val="center"/>
          </w:tcPr>
          <w:p>
            <w:pPr>
              <w:keepNext w:val="0"/>
              <w:keepLines w:val="0"/>
              <w:suppressLineNumbers w:val="0"/>
              <w:adjustRightInd w:val="0"/>
              <w:snapToGrid w:val="0"/>
              <w:spacing w:before="0" w:beforeAutospacing="0" w:after="0" w:afterAutospacing="0"/>
              <w:ind w:left="0" w:right="0"/>
              <w:jc w:val="center"/>
              <w:rPr>
                <w:rFonts w:hint="default"/>
                <w:b/>
                <w:bCs/>
                <w:szCs w:val="21"/>
              </w:rPr>
            </w:pPr>
            <w:r>
              <w:rPr>
                <w:rFonts w:hint="eastAsia"/>
                <w:b/>
                <w:bCs/>
                <w:szCs w:val="21"/>
              </w:rPr>
              <w:t>整改</w:t>
            </w:r>
            <w:r>
              <w:rPr>
                <w:rFonts w:hint="default"/>
                <w:b/>
                <w:bCs/>
                <w:szCs w:val="21"/>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0" w:type="pc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eastAsia="宋体"/>
                <w:szCs w:val="21"/>
                <w:lang w:val="en-US" w:eastAsia="zh-CN"/>
              </w:rPr>
            </w:pPr>
            <w:r>
              <w:rPr>
                <w:rFonts w:hint="eastAsia"/>
                <w:szCs w:val="21"/>
                <w:lang w:val="en-US" w:eastAsia="zh-CN"/>
              </w:rPr>
              <w:t>1</w:t>
            </w:r>
          </w:p>
        </w:tc>
        <w:tc>
          <w:tcPr>
            <w:tcW w:w="932" w:type="pct"/>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szCs w:val="21"/>
                <w:lang w:val="en-US" w:eastAsia="zh-CN"/>
              </w:rPr>
            </w:pPr>
            <w:r>
              <w:rPr>
                <w:rFonts w:hint="eastAsia"/>
                <w:szCs w:val="21"/>
                <w:lang w:val="en-US" w:eastAsia="zh-CN"/>
              </w:rPr>
              <w:t>现场正压式空气呼吸器、便携式硫化氢报警仪检查无记录痕迹。</w:t>
            </w:r>
          </w:p>
        </w:tc>
        <w:tc>
          <w:tcPr>
            <w:tcW w:w="1611" w:type="pct"/>
            <w:tcBorders>
              <w:right w:val="single" w:color="auto" w:sz="4" w:space="0"/>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现场</w:t>
            </w:r>
            <w:r>
              <w:rPr>
                <w:rFonts w:hint="eastAsia"/>
                <w:szCs w:val="21"/>
                <w:lang w:val="en-US" w:eastAsia="zh-CN"/>
              </w:rPr>
              <w:t>正压式空气呼吸器、便携式硫化氢报警仪已填写检查记录。</w:t>
            </w:r>
          </w:p>
        </w:tc>
        <w:tc>
          <w:tcPr>
            <w:tcW w:w="1790" w:type="pct"/>
            <w:tcBorders>
              <w:left w:val="single" w:color="auto" w:sz="4" w:space="0"/>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eastAsia" w:cs="Times New Roman"/>
                <w:kern w:val="2"/>
                <w:sz w:val="21"/>
                <w:szCs w:val="24"/>
                <w:lang w:val="en-US" w:eastAsia="zh-CN" w:bidi="ar-SA"/>
              </w:rPr>
            </w:pPr>
            <w:r>
              <w:rPr>
                <w:rFonts w:hint="eastAsia" w:cs="Times New Roman"/>
                <w:kern w:val="2"/>
                <w:sz w:val="21"/>
                <w:szCs w:val="24"/>
                <w:lang w:val="en-US" w:eastAsia="zh-CN" w:bidi="ar-SA"/>
              </w:rPr>
              <w:drawing>
                <wp:inline distT="0" distB="0" distL="114300" distR="114300">
                  <wp:extent cx="1304290" cy="1738630"/>
                  <wp:effectExtent l="0" t="0" r="13970" b="10160"/>
                  <wp:docPr id="275" name="图片 275" descr="空呼检查表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空呼检查表02"/>
                          <pic:cNvPicPr>
                            <a:picLocks noChangeAspect="1"/>
                          </pic:cNvPicPr>
                        </pic:nvPicPr>
                        <pic:blipFill>
                          <a:blip r:embed="rId36"/>
                          <a:stretch>
                            <a:fillRect/>
                          </a:stretch>
                        </pic:blipFill>
                        <pic:spPr>
                          <a:xfrm rot="16200000">
                            <a:off x="0" y="0"/>
                            <a:ext cx="1304290" cy="1738630"/>
                          </a:xfrm>
                          <a:prstGeom prst="rect">
                            <a:avLst/>
                          </a:prstGeom>
                        </pic:spPr>
                      </pic:pic>
                    </a:graphicData>
                  </a:graphic>
                </wp:inline>
              </w:drawing>
            </w:r>
          </w:p>
        </w:tc>
        <w:tc>
          <w:tcPr>
            <w:tcW w:w="414" w:type="pct"/>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已整改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0" w:type="pc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2</w:t>
            </w:r>
          </w:p>
        </w:tc>
        <w:tc>
          <w:tcPr>
            <w:tcW w:w="932" w:type="pct"/>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szCs w:val="21"/>
                <w:lang w:val="en-US" w:eastAsia="zh-CN"/>
              </w:rPr>
            </w:pPr>
            <w:r>
              <w:rPr>
                <w:rFonts w:hint="eastAsia" w:ascii="Times New Roman" w:hAnsi="Times New Roman" w:eastAsia="宋体" w:cs="Times New Roman"/>
                <w:szCs w:val="21"/>
                <w:lang w:val="en-US" w:eastAsia="zh-CN"/>
              </w:rPr>
              <w:t>未配备注册安全工程师从事安全管理工作。</w:t>
            </w:r>
          </w:p>
        </w:tc>
        <w:tc>
          <w:tcPr>
            <w:tcW w:w="1611" w:type="pct"/>
            <w:tcBorders>
              <w:right w:val="single" w:color="auto" w:sz="4" w:space="0"/>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eastAsia" w:cs="Times New Roman"/>
                <w:kern w:val="2"/>
                <w:sz w:val="21"/>
                <w:szCs w:val="24"/>
                <w:lang w:val="en-US" w:eastAsia="zh-CN" w:bidi="ar-SA"/>
              </w:rPr>
            </w:pPr>
            <w:r>
              <w:rPr>
                <w:rFonts w:hint="eastAsia" w:ascii="Times New Roman" w:hAnsi="Times New Roman" w:eastAsia="宋体" w:cs="Times New Roman"/>
                <w:szCs w:val="21"/>
                <w:lang w:val="en-US" w:eastAsia="zh-CN"/>
              </w:rPr>
              <w:t>已配备注册安全工程师</w:t>
            </w:r>
            <w:r>
              <w:rPr>
                <w:rFonts w:hint="eastAsia" w:cs="Times New Roman"/>
                <w:szCs w:val="21"/>
                <w:lang w:val="en-US" w:eastAsia="zh-CN"/>
              </w:rPr>
              <w:t>从事安全管理工作</w:t>
            </w:r>
            <w:r>
              <w:rPr>
                <w:rFonts w:hint="eastAsia" w:ascii="Times New Roman" w:hAnsi="Times New Roman" w:eastAsia="宋体" w:cs="Times New Roman"/>
                <w:szCs w:val="21"/>
                <w:lang w:val="en-US" w:eastAsia="zh-CN"/>
              </w:rPr>
              <w:t>。</w:t>
            </w:r>
          </w:p>
        </w:tc>
        <w:tc>
          <w:tcPr>
            <w:tcW w:w="1790" w:type="pct"/>
            <w:tcBorders>
              <w:left w:val="single" w:color="auto" w:sz="4" w:space="0"/>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cs="Times New Roman"/>
                <w:kern w:val="2"/>
                <w:sz w:val="21"/>
                <w:szCs w:val="24"/>
                <w:lang w:val="en-US" w:eastAsia="zh-CN" w:bidi="ar-SA"/>
              </w:rPr>
            </w:pPr>
            <w:r>
              <w:rPr>
                <w:rFonts w:hint="eastAsia" w:cs="Times New Roman"/>
                <w:kern w:val="2"/>
                <w:sz w:val="21"/>
                <w:szCs w:val="24"/>
                <w:lang w:val="en-US" w:eastAsia="zh-CN" w:bidi="ar-SA"/>
              </w:rPr>
              <w:t>注册安全工程师证书详见报告附件8。</w:t>
            </w:r>
          </w:p>
        </w:tc>
        <w:tc>
          <w:tcPr>
            <w:tcW w:w="414" w:type="pct"/>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eastAsia" w:cs="Times New Roman"/>
                <w:kern w:val="2"/>
                <w:sz w:val="21"/>
                <w:szCs w:val="21"/>
                <w:lang w:val="en-US" w:eastAsia="zh-CN" w:bidi="ar-SA"/>
              </w:rPr>
            </w:pPr>
            <w:r>
              <w:rPr>
                <w:rFonts w:hint="eastAsia" w:cs="Times New Roman"/>
                <w:kern w:val="2"/>
                <w:sz w:val="21"/>
                <w:szCs w:val="21"/>
                <w:lang w:val="en-US" w:eastAsia="zh-CN" w:bidi="ar-SA"/>
              </w:rPr>
              <w:t>已整改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0" w:type="pc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szCs w:val="21"/>
                <w:lang w:val="en-US" w:eastAsia="zh-CN"/>
              </w:rPr>
            </w:pPr>
            <w:r>
              <w:rPr>
                <w:rFonts w:hint="eastAsia"/>
                <w:szCs w:val="21"/>
                <w:lang w:val="en-US" w:eastAsia="zh-CN"/>
              </w:rPr>
              <w:t>3</w:t>
            </w:r>
          </w:p>
        </w:tc>
        <w:tc>
          <w:tcPr>
            <w:tcW w:w="932" w:type="pct"/>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szCs w:val="21"/>
                <w:lang w:val="en-US" w:eastAsia="zh-CN"/>
              </w:rPr>
            </w:pPr>
            <w:r>
              <w:rPr>
                <w:rFonts w:hint="eastAsia"/>
                <w:szCs w:val="21"/>
                <w:lang w:val="en-US" w:eastAsia="zh-CN"/>
              </w:rPr>
              <w:t>未按要求配备安全总监。</w:t>
            </w:r>
          </w:p>
        </w:tc>
        <w:tc>
          <w:tcPr>
            <w:tcW w:w="1611" w:type="pct"/>
            <w:tcBorders>
              <w:right w:val="single" w:color="auto" w:sz="4" w:space="0"/>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eastAsia" w:cs="Times New Roman"/>
                <w:kern w:val="2"/>
                <w:sz w:val="21"/>
                <w:szCs w:val="24"/>
                <w:lang w:val="en-US" w:eastAsia="zh-CN" w:bidi="ar-SA"/>
              </w:rPr>
            </w:pPr>
            <w:r>
              <w:rPr>
                <w:rFonts w:hint="eastAsia" w:ascii="Times New Roman" w:hAnsi="Times New Roman" w:eastAsia="宋体" w:cs="Times New Roman"/>
                <w:szCs w:val="21"/>
                <w:lang w:val="en-US" w:eastAsia="zh-CN"/>
              </w:rPr>
              <w:t>由斯伦贝谢油田技术（山东）有限公司总部斯伦贝谢科技服务（北京）有限公司协调任命张士雄为斯伦贝谢油田技术（山东）有限公司的安全总监，任命自2022年3月1日起执行。</w:t>
            </w:r>
          </w:p>
        </w:tc>
        <w:tc>
          <w:tcPr>
            <w:tcW w:w="1790" w:type="pct"/>
            <w:tcBorders>
              <w:left w:val="single" w:color="auto" w:sz="4" w:space="0"/>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eastAsia" w:cs="Times New Roman"/>
                <w:kern w:val="2"/>
                <w:sz w:val="21"/>
                <w:szCs w:val="24"/>
                <w:lang w:val="en-US" w:eastAsia="zh-CN" w:bidi="ar-SA"/>
              </w:rPr>
            </w:pPr>
            <w:r>
              <w:rPr>
                <w:rFonts w:hint="eastAsia" w:cs="Times New Roman"/>
                <w:kern w:val="2"/>
                <w:sz w:val="21"/>
                <w:szCs w:val="24"/>
                <w:lang w:val="en-US" w:eastAsia="zh-CN" w:bidi="ar-SA"/>
              </w:rPr>
              <w:t>已配备安全总监，任命文件详见报告附件6。</w:t>
            </w:r>
          </w:p>
        </w:tc>
        <w:tc>
          <w:tcPr>
            <w:tcW w:w="414" w:type="pct"/>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eastAsia" w:cs="Times New Roman"/>
                <w:kern w:val="2"/>
                <w:sz w:val="21"/>
                <w:szCs w:val="21"/>
                <w:lang w:val="en-US" w:eastAsia="zh-CN" w:bidi="ar-SA"/>
              </w:rPr>
            </w:pPr>
            <w:r>
              <w:rPr>
                <w:rFonts w:hint="eastAsia" w:cs="Times New Roman"/>
                <w:kern w:val="2"/>
                <w:sz w:val="21"/>
                <w:szCs w:val="21"/>
                <w:lang w:val="en-US" w:eastAsia="zh-CN" w:bidi="ar-SA"/>
              </w:rPr>
              <w:t>已整改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0" w:type="pct"/>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eastAsia="宋体"/>
                <w:szCs w:val="21"/>
                <w:lang w:val="en-US" w:eastAsia="zh-CN"/>
              </w:rPr>
            </w:pPr>
            <w:r>
              <w:rPr>
                <w:rFonts w:hint="eastAsia"/>
                <w:szCs w:val="21"/>
                <w:lang w:val="en-US" w:eastAsia="zh-CN"/>
              </w:rPr>
              <w:t>4</w:t>
            </w:r>
          </w:p>
        </w:tc>
        <w:tc>
          <w:tcPr>
            <w:tcW w:w="932" w:type="pct"/>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ascii="Times New Roman" w:hAnsi="Times New Roman" w:eastAsia="宋体" w:cs="Times New Roman"/>
                <w:kern w:val="2"/>
                <w:sz w:val="21"/>
                <w:szCs w:val="21"/>
                <w:lang w:val="en-US" w:eastAsia="zh-CN" w:bidi="ar-SA"/>
              </w:rPr>
            </w:pPr>
            <w:r>
              <w:rPr>
                <w:rFonts w:hint="eastAsia"/>
                <w:szCs w:val="21"/>
                <w:lang w:val="en-US" w:eastAsia="zh-CN"/>
              </w:rPr>
              <w:t>劳动防护用品配备标准种类缺少耳塞。</w:t>
            </w:r>
          </w:p>
        </w:tc>
        <w:tc>
          <w:tcPr>
            <w:tcW w:w="1611" w:type="pct"/>
            <w:tcBorders>
              <w:right w:val="single" w:color="auto" w:sz="4" w:space="0"/>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ascii="Times New Roman" w:hAnsi="Times New Roman" w:eastAsia="宋体" w:cs="Times New Roman"/>
                <w:kern w:val="2"/>
                <w:sz w:val="21"/>
                <w:szCs w:val="24"/>
                <w:lang w:val="en-US" w:eastAsia="zh-CN" w:bidi="ar-SA"/>
              </w:rPr>
            </w:pPr>
            <w:r>
              <w:rPr>
                <w:rFonts w:hint="eastAsia"/>
                <w:szCs w:val="21"/>
                <w:lang w:val="en-US" w:eastAsia="zh-CN"/>
              </w:rPr>
              <w:t>劳动防护用品配备标准种类已增加耳塞。</w:t>
            </w:r>
          </w:p>
        </w:tc>
        <w:tc>
          <w:tcPr>
            <w:tcW w:w="1790" w:type="pct"/>
            <w:tcBorders>
              <w:left w:val="single" w:color="auto" w:sz="4" w:space="0"/>
            </w:tcBorders>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szCs w:val="21"/>
                <w:lang w:val="en-US" w:eastAsia="zh-CN"/>
              </w:rPr>
            </w:pPr>
            <w:r>
              <w:rPr>
                <w:rFonts w:hint="eastAsia"/>
                <w:szCs w:val="21"/>
                <w:lang w:val="en-US" w:eastAsia="zh-CN"/>
              </w:rPr>
              <w:t>详见附件19劳动防护用品发放记录。</w:t>
            </w:r>
          </w:p>
        </w:tc>
        <w:tc>
          <w:tcPr>
            <w:tcW w:w="414" w:type="pct"/>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已整改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23" w:hRule="atLeast"/>
          <w:jc w:val="center"/>
        </w:trPr>
        <w:tc>
          <w:tcPr>
            <w:tcW w:w="5000" w:type="pct"/>
            <w:gridSpan w:val="5"/>
            <w:vAlign w:val="center"/>
          </w:tcPr>
          <w:p>
            <w:pPr>
              <w:keepNext w:val="0"/>
              <w:keepLines w:val="0"/>
              <w:suppressLineNumbers w:val="0"/>
              <w:adjustRightInd w:val="0"/>
              <w:snapToGrid w:val="0"/>
              <w:spacing w:before="0" w:beforeAutospacing="0" w:after="0" w:afterAutospacing="0"/>
              <w:ind w:left="0" w:right="0"/>
              <w:jc w:val="left"/>
              <w:rPr>
                <w:rFonts w:hint="eastAsia"/>
                <w:szCs w:val="21"/>
                <w:lang w:eastAsia="zh-CN"/>
              </w:rPr>
            </w:pPr>
            <w:r>
              <w:rPr>
                <w:rFonts w:hint="eastAsia"/>
                <w:szCs w:val="21"/>
              </w:rPr>
              <w:t>评价单位检查人员（签字）</w:t>
            </w:r>
            <w:r>
              <w:rPr>
                <w:rFonts w:hint="eastAsia"/>
                <w:szCs w:val="21"/>
                <w:lang w:eastAsia="zh-CN"/>
              </w:rPr>
              <w:t>：</w:t>
            </w:r>
          </w:p>
          <w:p>
            <w:pPr>
              <w:pStyle w:val="2"/>
              <w:keepNext w:val="0"/>
              <w:keepLines w:val="0"/>
              <w:suppressLineNumbers w:val="0"/>
              <w:spacing w:before="0" w:beforeAutospacing="0" w:after="0" w:afterAutospacing="0"/>
              <w:ind w:left="0" w:right="0"/>
              <w:rPr>
                <w:rFonts w:hint="eastAsia"/>
                <w:lang w:eastAsia="zh-CN"/>
              </w:rPr>
            </w:pPr>
          </w:p>
          <w:p>
            <w:pPr>
              <w:pStyle w:val="2"/>
              <w:keepNext w:val="0"/>
              <w:keepLines w:val="0"/>
              <w:suppressLineNumbers w:val="0"/>
              <w:spacing w:before="0" w:beforeAutospacing="0" w:after="0" w:afterAutospacing="0"/>
              <w:ind w:left="0" w:right="0"/>
              <w:rPr>
                <w:rFonts w:hint="eastAsia"/>
                <w:lang w:eastAsia="zh-CN"/>
              </w:rPr>
            </w:pPr>
          </w:p>
          <w:p>
            <w:pPr>
              <w:keepNext w:val="0"/>
              <w:keepLines w:val="0"/>
              <w:suppressLineNumbers w:val="0"/>
              <w:adjustRightInd w:val="0"/>
              <w:snapToGrid w:val="0"/>
              <w:spacing w:before="0" w:beforeAutospacing="0" w:after="0" w:afterAutospacing="0"/>
              <w:ind w:left="0" w:right="420"/>
              <w:jc w:val="right"/>
              <w:rPr>
                <w:rFonts w:hint="default"/>
                <w:szCs w:val="21"/>
              </w:rPr>
            </w:pPr>
            <w:r>
              <w:rPr>
                <w:rFonts w:hint="eastAsia"/>
                <w:szCs w:val="21"/>
              </w:rPr>
              <w:t>年</w:t>
            </w:r>
            <w:r>
              <w:rPr>
                <w:rFonts w:hint="eastAsia"/>
                <w:szCs w:val="21"/>
                <w:lang w:val="en-US" w:eastAsia="zh-CN"/>
              </w:rPr>
              <w:t xml:space="preserve">  </w:t>
            </w:r>
            <w:r>
              <w:rPr>
                <w:rFonts w:hint="eastAsia"/>
                <w:szCs w:val="21"/>
              </w:rPr>
              <w:t>月</w:t>
            </w:r>
            <w:r>
              <w:rPr>
                <w:rFonts w:hint="eastAsia"/>
                <w:szCs w:val="21"/>
                <w:lang w:val="en-US" w:eastAsia="zh-CN"/>
              </w:rPr>
              <w:t xml:space="preserve">  </w:t>
            </w:r>
            <w:r>
              <w:rPr>
                <w:rFonts w:hint="eastAsia"/>
                <w:szCs w:val="21"/>
              </w:rPr>
              <w:t>日</w:t>
            </w:r>
          </w:p>
          <w:p>
            <w:pPr>
              <w:keepNext w:val="0"/>
              <w:keepLines w:val="0"/>
              <w:suppressLineNumbers w:val="0"/>
              <w:adjustRightInd w:val="0"/>
              <w:snapToGrid w:val="0"/>
              <w:spacing w:before="0" w:beforeAutospacing="0" w:after="0" w:afterAutospacing="0"/>
              <w:ind w:left="0" w:right="420"/>
              <w:jc w:val="right"/>
              <w:rPr>
                <w:rFonts w:hint="default"/>
                <w:szCs w:val="21"/>
              </w:rPr>
            </w:pPr>
            <w:r>
              <w:rPr>
                <w:rFonts w:hint="eastAsia"/>
                <w:szCs w:val="21"/>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29" w:hRule="atLeast"/>
          <w:jc w:val="center"/>
        </w:trPr>
        <w:tc>
          <w:tcPr>
            <w:tcW w:w="5000" w:type="pct"/>
            <w:gridSpan w:val="5"/>
            <w:vAlign w:val="center"/>
          </w:tcPr>
          <w:p>
            <w:pPr>
              <w:keepNext w:val="0"/>
              <w:keepLines w:val="0"/>
              <w:suppressLineNumbers w:val="0"/>
              <w:adjustRightInd w:val="0"/>
              <w:snapToGrid w:val="0"/>
              <w:spacing w:before="0" w:beforeAutospacing="0" w:after="0" w:afterAutospacing="0"/>
              <w:ind w:left="0" w:right="0"/>
              <w:jc w:val="left"/>
              <w:rPr>
                <w:rFonts w:hint="eastAsia"/>
                <w:szCs w:val="21"/>
                <w:lang w:eastAsia="zh-CN"/>
              </w:rPr>
            </w:pPr>
            <w:r>
              <w:rPr>
                <w:rFonts w:hint="eastAsia"/>
                <w:szCs w:val="21"/>
              </w:rPr>
              <w:t>被评价单位主要负责人确认（签字）</w:t>
            </w:r>
            <w:r>
              <w:rPr>
                <w:rFonts w:hint="eastAsia"/>
                <w:szCs w:val="21"/>
                <w:lang w:eastAsia="zh-CN"/>
              </w:rPr>
              <w:t>：</w:t>
            </w:r>
          </w:p>
          <w:p>
            <w:pPr>
              <w:keepNext w:val="0"/>
              <w:keepLines w:val="0"/>
              <w:suppressLineNumbers w:val="0"/>
              <w:adjustRightInd w:val="0"/>
              <w:snapToGrid w:val="0"/>
              <w:spacing w:before="0" w:beforeAutospacing="0" w:after="0" w:afterAutospacing="0"/>
              <w:ind w:left="0" w:right="420"/>
              <w:jc w:val="right"/>
              <w:rPr>
                <w:rFonts w:hint="default"/>
                <w:szCs w:val="21"/>
              </w:rPr>
            </w:pPr>
          </w:p>
          <w:p>
            <w:pPr>
              <w:keepNext w:val="0"/>
              <w:keepLines w:val="0"/>
              <w:suppressLineNumbers w:val="0"/>
              <w:adjustRightInd w:val="0"/>
              <w:snapToGrid w:val="0"/>
              <w:spacing w:before="0" w:beforeAutospacing="0" w:after="0" w:afterAutospacing="0"/>
              <w:ind w:left="0" w:right="420"/>
              <w:jc w:val="right"/>
              <w:rPr>
                <w:rFonts w:hint="eastAsia"/>
                <w:szCs w:val="21"/>
              </w:rPr>
            </w:pPr>
          </w:p>
          <w:p>
            <w:pPr>
              <w:keepNext w:val="0"/>
              <w:keepLines w:val="0"/>
              <w:suppressLineNumbers w:val="0"/>
              <w:adjustRightInd w:val="0"/>
              <w:snapToGrid w:val="0"/>
              <w:spacing w:before="0" w:beforeAutospacing="0" w:after="0" w:afterAutospacing="0"/>
              <w:ind w:left="0" w:right="420"/>
              <w:jc w:val="right"/>
              <w:rPr>
                <w:rFonts w:hint="default"/>
                <w:szCs w:val="21"/>
              </w:rPr>
            </w:pPr>
            <w:r>
              <w:rPr>
                <w:rFonts w:hint="eastAsia"/>
                <w:szCs w:val="21"/>
                <w:lang w:val="en-US" w:eastAsia="zh-CN"/>
              </w:rPr>
              <w:t xml:space="preserve"> </w:t>
            </w:r>
            <w:r>
              <w:rPr>
                <w:rFonts w:hint="eastAsia"/>
                <w:szCs w:val="21"/>
              </w:rPr>
              <w:t>年</w:t>
            </w:r>
            <w:r>
              <w:rPr>
                <w:rFonts w:hint="eastAsia"/>
                <w:szCs w:val="21"/>
                <w:lang w:val="en-US" w:eastAsia="zh-CN"/>
              </w:rPr>
              <w:t xml:space="preserve">  </w:t>
            </w:r>
            <w:r>
              <w:rPr>
                <w:rFonts w:hint="eastAsia"/>
                <w:szCs w:val="21"/>
              </w:rPr>
              <w:t>月</w:t>
            </w:r>
            <w:r>
              <w:rPr>
                <w:rFonts w:hint="eastAsia"/>
                <w:szCs w:val="21"/>
                <w:lang w:val="en-US" w:eastAsia="zh-CN"/>
              </w:rPr>
              <w:t xml:space="preserve">  </w:t>
            </w:r>
            <w:r>
              <w:rPr>
                <w:rFonts w:hint="eastAsia"/>
                <w:szCs w:val="21"/>
              </w:rPr>
              <w:t>日</w:t>
            </w:r>
          </w:p>
          <w:p>
            <w:pPr>
              <w:keepNext w:val="0"/>
              <w:keepLines w:val="0"/>
              <w:suppressLineNumbers w:val="0"/>
              <w:adjustRightInd w:val="0"/>
              <w:snapToGrid w:val="0"/>
              <w:spacing w:before="0" w:beforeAutospacing="0" w:after="0" w:afterAutospacing="0"/>
              <w:ind w:left="0" w:right="420"/>
              <w:jc w:val="right"/>
              <w:rPr>
                <w:rFonts w:hint="default"/>
                <w:szCs w:val="21"/>
              </w:rPr>
            </w:pPr>
            <w:r>
              <w:rPr>
                <w:rFonts w:hint="eastAsia"/>
                <w:szCs w:val="21"/>
              </w:rPr>
              <w:t>（单位盖章）</w:t>
            </w:r>
          </w:p>
          <w:p>
            <w:pPr>
              <w:keepNext w:val="0"/>
              <w:keepLines w:val="0"/>
              <w:suppressLineNumbers w:val="0"/>
              <w:adjustRightInd w:val="0"/>
              <w:snapToGrid w:val="0"/>
              <w:spacing w:before="0" w:beforeAutospacing="0" w:after="0" w:afterAutospacing="0"/>
              <w:ind w:left="0" w:right="0"/>
              <w:jc w:val="right"/>
              <w:rPr>
                <w:rFonts w:hint="default"/>
                <w:szCs w:val="21"/>
              </w:rPr>
            </w:pPr>
          </w:p>
        </w:tc>
      </w:tr>
    </w:tbl>
    <w:p>
      <w:pPr>
        <w:rPr>
          <w:rFonts w:hint="eastAsia" w:eastAsia="楷体_GB2312"/>
          <w:b/>
          <w:sz w:val="36"/>
          <w:szCs w:val="36"/>
          <w:lang w:val="en-US" w:eastAsia="zh-CN"/>
        </w:rPr>
      </w:pPr>
      <w:r>
        <w:rPr>
          <w:rFonts w:hint="eastAsia" w:eastAsia="楷体_GB2312"/>
          <w:b/>
          <w:sz w:val="36"/>
          <w:szCs w:val="36"/>
          <w:lang w:val="en-US" w:eastAsia="zh-CN"/>
        </w:rPr>
        <w:br w:type="page"/>
      </w:r>
    </w:p>
    <w:p>
      <w:pPr>
        <w:pStyle w:val="3"/>
        <w:adjustRightInd w:val="0"/>
        <w:snapToGrid w:val="0"/>
        <w:spacing w:line="360" w:lineRule="auto"/>
        <w:rPr>
          <w:rFonts w:hint="default" w:eastAsia="楷体_GB2312"/>
          <w:b/>
          <w:sz w:val="36"/>
          <w:szCs w:val="36"/>
          <w:lang w:val="en-US" w:eastAsia="zh-CN"/>
        </w:rPr>
      </w:pPr>
      <w:bookmarkStart w:id="136" w:name="_Toc321810989"/>
      <w:bookmarkStart w:id="137" w:name="_Toc22214"/>
      <w:bookmarkStart w:id="138" w:name="_Toc281310752"/>
      <w:bookmarkStart w:id="139" w:name="_Toc2398"/>
      <w:r>
        <w:rPr>
          <w:rFonts w:hint="eastAsia" w:eastAsia="楷体_GB2312"/>
          <w:b/>
          <w:sz w:val="36"/>
          <w:szCs w:val="36"/>
          <w:lang w:val="en-US" w:eastAsia="zh-CN"/>
        </w:rPr>
        <w:t>8</w:t>
      </w:r>
      <w:r>
        <w:rPr>
          <w:rFonts w:hint="default" w:eastAsia="楷体_GB2312"/>
          <w:b/>
          <w:sz w:val="36"/>
          <w:szCs w:val="36"/>
          <w:lang w:val="en-US" w:eastAsia="zh-CN"/>
        </w:rPr>
        <w:t xml:space="preserve"> </w:t>
      </w:r>
      <w:r>
        <w:rPr>
          <w:rFonts w:hint="eastAsia" w:eastAsia="楷体_GB2312"/>
          <w:b/>
          <w:sz w:val="36"/>
          <w:szCs w:val="36"/>
          <w:lang w:val="en-US" w:eastAsia="zh-CN"/>
        </w:rPr>
        <w:t xml:space="preserve"> </w:t>
      </w:r>
      <w:r>
        <w:rPr>
          <w:rFonts w:hint="default" w:eastAsia="楷体_GB2312"/>
          <w:b/>
          <w:sz w:val="36"/>
          <w:szCs w:val="36"/>
          <w:lang w:val="en-US" w:eastAsia="zh-CN"/>
        </w:rPr>
        <w:t>安全生产条件分析评价</w:t>
      </w:r>
      <w:bookmarkEnd w:id="136"/>
      <w:bookmarkEnd w:id="137"/>
      <w:bookmarkEnd w:id="138"/>
      <w:bookmarkEnd w:id="139"/>
    </w:p>
    <w:p>
      <w:pPr>
        <w:adjustRightInd w:val="0"/>
        <w:snapToGrid w:val="0"/>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根据</w:t>
      </w:r>
      <w:r>
        <w:rPr>
          <w:rFonts w:hint="eastAsia"/>
          <w:sz w:val="28"/>
        </w:rPr>
        <w:t>《非煤矿矿山企业安全生产许可证实施办法》</w:t>
      </w:r>
      <w:r>
        <w:rPr>
          <w:rFonts w:hint="eastAsia"/>
          <w:sz w:val="28"/>
          <w:lang w:eastAsia="zh-CN"/>
        </w:rPr>
        <w:t>（</w:t>
      </w:r>
      <w:r>
        <w:rPr>
          <w:rFonts w:hint="eastAsia"/>
          <w:sz w:val="28"/>
        </w:rPr>
        <w:t>国家安全生产监督管理总局令[2009]第20号，2015修订版</w:t>
      </w:r>
      <w:r>
        <w:rPr>
          <w:rFonts w:hint="eastAsia"/>
          <w:sz w:val="28"/>
          <w:lang w:eastAsia="zh-CN"/>
        </w:rPr>
        <w:t>）</w:t>
      </w:r>
      <w:r>
        <w:rPr>
          <w:rFonts w:hint="eastAsia" w:cs="Times New Roman"/>
          <w:color w:val="000000"/>
          <w:sz w:val="28"/>
          <w:szCs w:val="28"/>
          <w:lang w:eastAsia="zh-CN"/>
        </w:rPr>
        <w:t>、</w:t>
      </w:r>
      <w:r>
        <w:rPr>
          <w:rFonts w:hint="default" w:ascii="Times New Roman" w:hAnsi="Times New Roman" w:cs="Times New Roman"/>
          <w:color w:val="000000"/>
          <w:sz w:val="28"/>
          <w:szCs w:val="28"/>
        </w:rPr>
        <w:t>《山东省非煤矿矿山企业安全生产许可证实施方案》（鲁安监发[2009]133号）和本报告第5</w:t>
      </w:r>
      <w:r>
        <w:rPr>
          <w:rFonts w:hint="eastAsia" w:cs="Times New Roman"/>
          <w:color w:val="000000"/>
          <w:sz w:val="28"/>
          <w:szCs w:val="28"/>
          <w:lang w:val="en-US" w:eastAsia="zh-CN"/>
        </w:rPr>
        <w:t>、7章</w:t>
      </w:r>
      <w:r>
        <w:rPr>
          <w:rFonts w:hint="default" w:ascii="Times New Roman" w:hAnsi="Times New Roman" w:cs="Times New Roman"/>
          <w:color w:val="000000"/>
          <w:sz w:val="28"/>
          <w:szCs w:val="28"/>
        </w:rPr>
        <w:t>的安全检查表的详细检查情况</w:t>
      </w:r>
      <w:r>
        <w:rPr>
          <w:rFonts w:hint="eastAsia" w:cs="Times New Roman"/>
          <w:color w:val="000000"/>
          <w:sz w:val="28"/>
          <w:szCs w:val="28"/>
          <w:lang w:val="en-US" w:eastAsia="zh-CN"/>
        </w:rPr>
        <w:t>和隐患整改情况</w:t>
      </w:r>
      <w:r>
        <w:rPr>
          <w:rFonts w:hint="default" w:ascii="Times New Roman" w:hAnsi="Times New Roman" w:cs="Times New Roman"/>
          <w:color w:val="000000"/>
          <w:sz w:val="28"/>
          <w:szCs w:val="28"/>
        </w:rPr>
        <w:t>，对</w:t>
      </w:r>
      <w:r>
        <w:rPr>
          <w:rFonts w:hint="eastAsia" w:cs="Times New Roman"/>
          <w:color w:val="auto"/>
          <w:sz w:val="28"/>
          <w:szCs w:val="28"/>
          <w:lang w:val="en-US" w:eastAsia="zh-CN"/>
        </w:rPr>
        <w:t>斯伦贝谢油田技术（山东）有限公司钻井（定向施工）项目</w:t>
      </w:r>
      <w:r>
        <w:rPr>
          <w:rFonts w:hint="default" w:ascii="Times New Roman" w:hAnsi="Times New Roman" w:cs="Times New Roman"/>
          <w:color w:val="auto"/>
          <w:sz w:val="28"/>
          <w:szCs w:val="28"/>
        </w:rPr>
        <w:t>是</w:t>
      </w:r>
      <w:r>
        <w:rPr>
          <w:rFonts w:hint="default" w:ascii="Times New Roman" w:hAnsi="Times New Roman" w:cs="Times New Roman"/>
          <w:color w:val="000000"/>
          <w:sz w:val="28"/>
          <w:szCs w:val="28"/>
        </w:rPr>
        <w:t>否具备非煤矿矿山企业的安全生产条件进行</w:t>
      </w:r>
      <w:r>
        <w:rPr>
          <w:rFonts w:hint="eastAsia" w:cs="Times New Roman"/>
          <w:color w:val="000000"/>
          <w:sz w:val="28"/>
          <w:szCs w:val="28"/>
          <w:lang w:val="en-US" w:eastAsia="zh-CN"/>
        </w:rPr>
        <w:t>评价</w:t>
      </w:r>
      <w:r>
        <w:rPr>
          <w:rFonts w:hint="default" w:ascii="Times New Roman" w:hAnsi="Times New Roman" w:cs="Times New Roman"/>
          <w:color w:val="000000"/>
          <w:sz w:val="28"/>
          <w:szCs w:val="28"/>
        </w:rPr>
        <w:t>，</w:t>
      </w:r>
      <w:r>
        <w:rPr>
          <w:rFonts w:hint="eastAsia" w:cs="Times New Roman"/>
          <w:color w:val="000000"/>
          <w:sz w:val="28"/>
          <w:szCs w:val="28"/>
          <w:lang w:val="en-US" w:eastAsia="zh-CN"/>
        </w:rPr>
        <w:t>评价</w:t>
      </w:r>
      <w:r>
        <w:rPr>
          <w:rFonts w:hint="default" w:ascii="Times New Roman" w:hAnsi="Times New Roman" w:cs="Times New Roman"/>
          <w:color w:val="000000"/>
          <w:sz w:val="28"/>
          <w:szCs w:val="28"/>
        </w:rPr>
        <w:t>结果汇总如下，见下表</w:t>
      </w:r>
      <w:r>
        <w:rPr>
          <w:rFonts w:hint="eastAsia" w:cs="Times New Roman"/>
          <w:color w:val="000000"/>
          <w:sz w:val="28"/>
          <w:szCs w:val="28"/>
          <w:lang w:val="en-US" w:eastAsia="zh-CN"/>
        </w:rPr>
        <w:t>8</w:t>
      </w:r>
      <w:r>
        <w:rPr>
          <w:rFonts w:hint="default" w:ascii="Times New Roman" w:hAnsi="Times New Roman" w:cs="Times New Roman"/>
          <w:color w:val="000000"/>
          <w:sz w:val="28"/>
          <w:szCs w:val="28"/>
        </w:rPr>
        <w:t>-1。</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sz w:val="24"/>
          <w:szCs w:val="28"/>
          <w:lang w:val="en-US" w:eastAsia="zh-CN"/>
        </w:rPr>
      </w:pPr>
      <w:r>
        <w:rPr>
          <w:rFonts w:hint="default"/>
          <w:b/>
          <w:sz w:val="24"/>
          <w:szCs w:val="28"/>
        </w:rPr>
        <w:t>表</w:t>
      </w:r>
      <w:r>
        <w:rPr>
          <w:rFonts w:hint="eastAsia"/>
          <w:b/>
          <w:sz w:val="24"/>
          <w:szCs w:val="28"/>
          <w:lang w:val="en-US" w:eastAsia="zh-CN"/>
        </w:rPr>
        <w:t>8</w:t>
      </w:r>
      <w:r>
        <w:rPr>
          <w:rFonts w:hint="default"/>
          <w:b/>
          <w:sz w:val="24"/>
          <w:szCs w:val="28"/>
        </w:rPr>
        <w:t>-</w:t>
      </w:r>
      <w:r>
        <w:rPr>
          <w:rFonts w:hint="eastAsia"/>
          <w:b/>
          <w:sz w:val="24"/>
          <w:szCs w:val="28"/>
          <w:lang w:val="en-US" w:eastAsia="zh-CN"/>
        </w:rPr>
        <w:t>1</w:t>
      </w:r>
      <w:r>
        <w:rPr>
          <w:rFonts w:hint="default"/>
          <w:b/>
          <w:sz w:val="24"/>
          <w:szCs w:val="28"/>
        </w:rPr>
        <w:t xml:space="preserve"> </w:t>
      </w:r>
      <w:r>
        <w:rPr>
          <w:rFonts w:hint="eastAsia" w:ascii="Times New Roman" w:hAnsi="Times New Roman" w:eastAsia="宋体" w:cs="Times New Roman"/>
          <w:b/>
          <w:sz w:val="24"/>
          <w:szCs w:val="28"/>
          <w:lang w:val="en-US" w:eastAsia="zh-CN"/>
        </w:rPr>
        <w:t>非煤矿矿山企业安全生产许可证安全生产条件评价表</w:t>
      </w:r>
    </w:p>
    <w:tbl>
      <w:tblPr>
        <w:tblStyle w:val="52"/>
        <w:tblW w:w="83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1"/>
        <w:gridCol w:w="3261"/>
        <w:gridCol w:w="3041"/>
        <w:gridCol w:w="15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501"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b/>
                <w:smallCaps w:val="0"/>
                <w:szCs w:val="24"/>
                <w:lang w:val="en-US" w:eastAsia="zh-CN"/>
              </w:rPr>
            </w:pPr>
            <w:r>
              <w:rPr>
                <w:rFonts w:hint="eastAsia" w:ascii="Times New Roman" w:hAnsi="Times New Roman" w:eastAsia="宋体" w:cs="Times New Roman"/>
                <w:b/>
                <w:smallCaps w:val="0"/>
                <w:szCs w:val="24"/>
                <w:lang w:val="en-US" w:eastAsia="zh-CN"/>
              </w:rPr>
              <w:t>序号</w:t>
            </w:r>
          </w:p>
        </w:tc>
        <w:tc>
          <w:tcPr>
            <w:tcW w:w="3261"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smallCaps w:val="0"/>
                <w:szCs w:val="24"/>
                <w:lang w:val="en-US" w:eastAsia="zh-CN"/>
              </w:rPr>
            </w:pPr>
            <w:r>
              <w:rPr>
                <w:rFonts w:hint="eastAsia" w:ascii="Times New Roman" w:hAnsi="Times New Roman" w:eastAsia="宋体" w:cs="Times New Roman"/>
                <w:b/>
                <w:smallCaps w:val="0"/>
                <w:szCs w:val="24"/>
                <w:lang w:val="en-US" w:eastAsia="zh-CN"/>
              </w:rPr>
              <w:t>安全生产条件</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b/>
                <w:smallCaps w:val="0"/>
                <w:szCs w:val="24"/>
                <w:lang w:eastAsia="zh-CN"/>
              </w:rPr>
            </w:pPr>
            <w:r>
              <w:rPr>
                <w:rFonts w:hint="eastAsia" w:ascii="Times New Roman" w:hAnsi="Times New Roman" w:eastAsia="宋体" w:cs="Times New Roman"/>
                <w:b/>
                <w:smallCaps w:val="0"/>
                <w:szCs w:val="24"/>
                <w:lang w:val="en-US" w:eastAsia="zh-CN"/>
              </w:rPr>
              <w:t>实际情况</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smallCaps w:val="0"/>
                <w:szCs w:val="24"/>
              </w:rPr>
            </w:pPr>
            <w:r>
              <w:rPr>
                <w:rFonts w:hint="eastAsia" w:ascii="Times New Roman" w:hAnsi="Times New Roman" w:eastAsia="宋体" w:cs="Times New Roman"/>
                <w:b/>
                <w:smallCaps w:val="0"/>
                <w:szCs w:val="24"/>
              </w:rPr>
              <w:t>审查结果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1</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建立健全主要负责人、分管负责人、安全生产管理人员、职能部门、岗位安全生产责任制；制定安全检查制度、职业危害预防制度、安全教育培训制度、生产安全事故管理制度、重大危险源监控和重大隐患整改制度、设备安全管理制度、安全生产档案管理制度、安全生产奖惩制度等规章制度；制定作业安全规程和各工种操作规程</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ascii="宋体" w:hAnsi="宋体"/>
                <w:kern w:val="0"/>
                <w:szCs w:val="21"/>
              </w:rPr>
              <w:t>该公司已编</w:t>
            </w:r>
            <w:r>
              <w:rPr>
                <w:rFonts w:hint="default"/>
                <w:kern w:val="0"/>
                <w:szCs w:val="21"/>
              </w:rPr>
              <w:t>制从</w:t>
            </w:r>
            <w:r>
              <w:rPr>
                <w:rFonts w:hint="eastAsia"/>
                <w:kern w:val="0"/>
                <w:szCs w:val="21"/>
              </w:rPr>
              <w:t>董事长/</w:t>
            </w:r>
            <w:r>
              <w:rPr>
                <w:rFonts w:hint="default"/>
                <w:kern w:val="0"/>
                <w:szCs w:val="21"/>
              </w:rPr>
              <w:t>总经理到</w:t>
            </w:r>
            <w:r>
              <w:rPr>
                <w:rFonts w:hint="eastAsia"/>
                <w:kern w:val="0"/>
                <w:szCs w:val="21"/>
              </w:rPr>
              <w:t>文员等51项安全生产</w:t>
            </w:r>
            <w:r>
              <w:rPr>
                <w:rFonts w:hint="default"/>
                <w:kern w:val="0"/>
                <w:szCs w:val="21"/>
              </w:rPr>
              <w:t>职</w:t>
            </w:r>
            <w:r>
              <w:rPr>
                <w:rFonts w:hint="eastAsia" w:ascii="宋体" w:hAnsi="宋体"/>
                <w:kern w:val="0"/>
                <w:szCs w:val="21"/>
              </w:rPr>
              <w:t>责，涵盖</w:t>
            </w:r>
            <w:r>
              <w:rPr>
                <w:rFonts w:hint="eastAsia"/>
                <w:kern w:val="0"/>
                <w:szCs w:val="21"/>
              </w:rPr>
              <w:t>全体从业人员</w:t>
            </w:r>
            <w:r>
              <w:rPr>
                <w:rFonts w:hint="eastAsia"/>
                <w:kern w:val="0"/>
                <w:szCs w:val="21"/>
                <w:lang w:eastAsia="zh-CN"/>
              </w:rPr>
              <w:t>；</w:t>
            </w:r>
            <w:r>
              <w:rPr>
                <w:rFonts w:hint="eastAsia" w:ascii="宋体" w:hAnsi="宋体"/>
                <w:kern w:val="0"/>
                <w:szCs w:val="21"/>
              </w:rPr>
              <w:t>该公司制定了安全生</w:t>
            </w:r>
            <w:r>
              <w:rPr>
                <w:rFonts w:hint="default"/>
                <w:kern w:val="0"/>
                <w:szCs w:val="21"/>
              </w:rPr>
              <w:t>产例会制度、安全生产检查制度、安全教育培训制度、安全设备设施管理制度等4</w:t>
            </w:r>
            <w:r>
              <w:rPr>
                <w:rFonts w:hint="eastAsia"/>
                <w:kern w:val="0"/>
                <w:szCs w:val="21"/>
                <w:lang w:val="en-US" w:eastAsia="zh-CN"/>
              </w:rPr>
              <w:t>4</w:t>
            </w:r>
            <w:r>
              <w:rPr>
                <w:rFonts w:hint="default"/>
                <w:kern w:val="0"/>
                <w:szCs w:val="21"/>
              </w:rPr>
              <w:t>项安全管理制度</w:t>
            </w:r>
            <w:r>
              <w:rPr>
                <w:rFonts w:hint="eastAsia"/>
                <w:kern w:val="0"/>
                <w:szCs w:val="21"/>
              </w:rPr>
              <w:t>；</w:t>
            </w:r>
            <w:r>
              <w:rPr>
                <w:rFonts w:hint="eastAsia" w:ascii="宋体" w:hAnsi="宋体"/>
                <w:kern w:val="0"/>
                <w:szCs w:val="21"/>
              </w:rPr>
              <w:t>制定有仪表/工程施工人员操作规程</w:t>
            </w:r>
            <w:r>
              <w:rPr>
                <w:rFonts w:hint="default"/>
                <w:color w:val="000000"/>
              </w:rPr>
              <w:t>。</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2</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val="en-US" w:eastAsia="zh-CN"/>
              </w:rPr>
            </w:pPr>
            <w:r>
              <w:rPr>
                <w:rFonts w:hint="eastAsia"/>
              </w:rPr>
              <w:t>安全投入符合安全生产要求，依照国家有关规定足额提取安全生产费用</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smallCaps w:val="0"/>
                <w:szCs w:val="24"/>
              </w:rPr>
            </w:pPr>
            <w:r>
              <w:rPr>
                <w:rFonts w:hint="eastAsia"/>
              </w:rPr>
              <w:t>每年</w:t>
            </w:r>
            <w:r>
              <w:rPr>
                <w:rFonts w:hint="eastAsia"/>
                <w:color w:val="000000"/>
              </w:rPr>
              <w:t>建立年度安全费用提取计划，按照计划计提安全费用，建立有安全费用台账，提取比例不低于工程费用的2.5%</w:t>
            </w:r>
            <w:r>
              <w:rPr>
                <w:rFonts w:hint="default"/>
                <w:color w:val="000000"/>
              </w:rPr>
              <w:t>。</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mallCaps w:val="0"/>
                <w:szCs w:val="24"/>
              </w:rPr>
            </w:pPr>
            <w:r>
              <w:rPr>
                <w:rFonts w:hint="eastAsia" w:ascii="Times New Roman" w:hAnsi="Times New Roman" w:eastAsia="宋体" w:cs="Times New Roman"/>
                <w:smallCaps w:val="0"/>
                <w:szCs w:val="24"/>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3</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设置安全生产管理机构，或者配备专职安全生产管理人员</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smallCaps w:val="0"/>
                <w:szCs w:val="24"/>
              </w:rPr>
            </w:pPr>
            <w:r>
              <w:rPr>
                <w:rFonts w:hint="eastAsia" w:ascii="宋体" w:hAnsi="宋体"/>
                <w:kern w:val="0"/>
                <w:szCs w:val="21"/>
              </w:rPr>
              <w:t>《关</w:t>
            </w:r>
            <w:r>
              <w:rPr>
                <w:rFonts w:hint="default"/>
                <w:kern w:val="0"/>
                <w:szCs w:val="21"/>
              </w:rPr>
              <w:t>于成立斯伦贝谢油田技术（山东）有限公司安全生产管理委员会和配备安全生产管理员的通知》（金地字[2022]0</w:t>
            </w:r>
            <w:r>
              <w:rPr>
                <w:rFonts w:hint="eastAsia"/>
                <w:kern w:val="0"/>
                <w:szCs w:val="21"/>
                <w:lang w:val="en-US" w:eastAsia="zh-CN"/>
              </w:rPr>
              <w:t>3</w:t>
            </w:r>
            <w:r>
              <w:rPr>
                <w:rFonts w:hint="default"/>
                <w:kern w:val="0"/>
                <w:szCs w:val="21"/>
              </w:rPr>
              <w:t>号）</w:t>
            </w:r>
            <w:r>
              <w:rPr>
                <w:rFonts w:hint="eastAsia"/>
                <w:kern w:val="0"/>
                <w:szCs w:val="21"/>
              </w:rPr>
              <w:t>中规定安全部为安全生产管理机构</w:t>
            </w:r>
            <w:r>
              <w:rPr>
                <w:rFonts w:hint="eastAsia" w:ascii="Times New Roman" w:hAnsi="Times New Roman" w:cs="Times New Roman"/>
                <w:kern w:val="0"/>
                <w:szCs w:val="21"/>
              </w:rPr>
              <w:t>，</w:t>
            </w:r>
            <w:r>
              <w:rPr>
                <w:rFonts w:hint="eastAsia" w:ascii="Times New Roman" w:hAnsi="Times New Roman" w:cs="Times New Roman"/>
                <w:kern w:val="0"/>
                <w:szCs w:val="21"/>
                <w:lang w:val="en-US" w:eastAsia="zh-CN"/>
              </w:rPr>
              <w:t>陈景霞为安全部经理，隋维县、王天梦为专职安全管理人员，</w:t>
            </w:r>
            <w:r>
              <w:rPr>
                <w:rFonts w:hint="eastAsia"/>
                <w:kern w:val="0"/>
                <w:szCs w:val="21"/>
              </w:rPr>
              <w:t>另任命张士雄为安全总监</w:t>
            </w:r>
            <w:r>
              <w:rPr>
                <w:rFonts w:hint="default" w:ascii="宋体" w:hAnsi="宋体"/>
                <w:kern w:val="0"/>
                <w:szCs w:val="21"/>
              </w:rPr>
              <w:t>。</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mallCaps w:val="0"/>
                <w:szCs w:val="24"/>
              </w:rPr>
            </w:pPr>
            <w:r>
              <w:rPr>
                <w:rFonts w:hint="eastAsia" w:ascii="Times New Roman" w:hAnsi="Times New Roman" w:eastAsia="宋体" w:cs="Times New Roman"/>
                <w:smallCaps w:val="0"/>
                <w:szCs w:val="24"/>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7" w:hRule="atLeas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4</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主要负责人和安全生产管理人员经安全生产监督管理部门考核合格，取得安全资格证书</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smallCaps w:val="0"/>
                <w:szCs w:val="24"/>
              </w:rPr>
            </w:pPr>
            <w:r>
              <w:rPr>
                <w:rFonts w:hint="eastAsia" w:ascii="宋体" w:hAnsi="宋体" w:cs="Times New Roman"/>
                <w:szCs w:val="21"/>
                <w:lang w:val="en-US" w:eastAsia="zh-CN"/>
              </w:rPr>
              <w:t>主</w:t>
            </w:r>
            <w:r>
              <w:rPr>
                <w:rFonts w:hint="default" w:ascii="Times New Roman" w:hAnsi="Times New Roman" w:cs="Times New Roman"/>
                <w:szCs w:val="21"/>
                <w:lang w:val="en-US" w:eastAsia="zh-CN"/>
              </w:rPr>
              <w:t>要负责人与安全管理人员已取得安全合格证。</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mallCaps w:val="0"/>
                <w:szCs w:val="24"/>
              </w:rPr>
            </w:pPr>
            <w:r>
              <w:rPr>
                <w:rFonts w:hint="eastAsia" w:ascii="Times New Roman" w:hAnsi="Times New Roman" w:eastAsia="宋体" w:cs="Times New Roman"/>
                <w:smallCaps w:val="0"/>
                <w:szCs w:val="24"/>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5</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特种作业人员经有关业务主管部门考核合格，取得特种作业操作资格证书</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ascii="Times New Roman" w:hAnsi="Times New Roman" w:eastAsia="宋体" w:cs="Times New Roman"/>
                <w:b w:val="0"/>
                <w:bCs w:val="0"/>
                <w:color w:val="000000"/>
                <w:kern w:val="2"/>
                <w:sz w:val="21"/>
                <w:szCs w:val="24"/>
                <w:lang w:val="en-US" w:eastAsia="zh-CN" w:bidi="ar-SA"/>
              </w:rPr>
            </w:pPr>
            <w:r>
              <w:rPr>
                <w:rFonts w:hint="eastAsia" w:ascii="宋体" w:hAnsi="宋体" w:cs="Times New Roman"/>
                <w:szCs w:val="21"/>
                <w:lang w:val="en-US" w:eastAsia="zh-CN"/>
              </w:rPr>
              <w:t>该公司钻井（定向施工）作业不涉及特种作业人员</w:t>
            </w:r>
            <w:r>
              <w:rPr>
                <w:rFonts w:hint="default" w:ascii="Times New Roman" w:hAnsi="Times New Roman" w:cs="Times New Roman"/>
                <w:b w:val="0"/>
                <w:bCs w:val="0"/>
                <w:color w:val="000000"/>
              </w:rPr>
              <w:t>。</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b w:val="0"/>
                <w:bCs w:val="0"/>
                <w:color w:val="000000"/>
                <w:kern w:val="2"/>
                <w:sz w:val="21"/>
                <w:szCs w:val="24"/>
                <w:lang w:val="en-US" w:eastAsia="zh-CN" w:bidi="ar-SA"/>
              </w:rPr>
            </w:pPr>
            <w:r>
              <w:rPr>
                <w:rFonts w:hint="eastAsia" w:cs="Times New Roman"/>
                <w:b w:val="0"/>
                <w:bCs w:val="0"/>
                <w:color w:val="000000"/>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6</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其他从业人员依照规定接受安全生产教育和培训，并经考试合格</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smallCaps w:val="0"/>
                <w:szCs w:val="24"/>
                <w:lang w:val="en-US" w:eastAsia="zh-CN"/>
              </w:rPr>
            </w:pPr>
            <w:r>
              <w:rPr>
                <w:rFonts w:hint="eastAsia"/>
              </w:rPr>
              <w:t>从业人员依照规定接受安全生产教育和培训，</w:t>
            </w:r>
            <w:r>
              <w:rPr>
                <w:rFonts w:hint="eastAsia"/>
                <w:lang w:val="en-US" w:eastAsia="zh-CN"/>
              </w:rPr>
              <w:t>新员工培训时间不小于72学时，再培训时间不小于20学时，</w:t>
            </w:r>
            <w:r>
              <w:rPr>
                <w:rFonts w:hint="eastAsia"/>
              </w:rPr>
              <w:t>并经考试合格</w:t>
            </w:r>
            <w:r>
              <w:rPr>
                <w:rFonts w:hint="eastAsia"/>
                <w:lang w:val="en-US" w:eastAsia="zh-CN"/>
              </w:rPr>
              <w:t>后上岗。</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mallCaps w:val="0"/>
                <w:szCs w:val="24"/>
              </w:rPr>
            </w:pPr>
            <w:r>
              <w:rPr>
                <w:rFonts w:hint="eastAsia" w:ascii="Times New Roman" w:hAnsi="Times New Roman" w:eastAsia="宋体" w:cs="Times New Roman"/>
                <w:smallCaps w:val="0"/>
                <w:szCs w:val="24"/>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7</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依法参加工伤保险，为从业人员缴纳保险费</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smallCaps w:val="0"/>
                <w:szCs w:val="24"/>
              </w:rPr>
            </w:pPr>
            <w:r>
              <w:rPr>
                <w:rFonts w:hint="eastAsia" w:ascii="Times New Roman" w:hAnsi="Times New Roman" w:cs="Times New Roman"/>
                <w:b w:val="0"/>
                <w:bCs w:val="0"/>
                <w:color w:val="000000"/>
              </w:rPr>
              <w:t>现有员工</w:t>
            </w:r>
            <w:r>
              <w:rPr>
                <w:rFonts w:hint="eastAsia" w:cs="Times New Roman"/>
                <w:b w:val="0"/>
                <w:bCs w:val="0"/>
                <w:color w:val="000000"/>
                <w:lang w:val="en-US" w:eastAsia="zh-CN"/>
              </w:rPr>
              <w:t>255人</w:t>
            </w:r>
            <w:r>
              <w:rPr>
                <w:rFonts w:hint="eastAsia" w:ascii="Times New Roman" w:hAnsi="Times New Roman" w:cs="Times New Roman"/>
                <w:b w:val="0"/>
                <w:bCs w:val="0"/>
                <w:color w:val="000000"/>
              </w:rPr>
              <w:t>，其中</w:t>
            </w:r>
            <w:r>
              <w:rPr>
                <w:rFonts w:hint="eastAsia" w:ascii="Times New Roman" w:hAnsi="Times New Roman" w:cs="Times New Roman"/>
                <w:b w:val="0"/>
                <w:bCs w:val="0"/>
                <w:color w:val="000000"/>
                <w:lang w:val="en-US" w:eastAsia="zh-CN"/>
              </w:rPr>
              <w:t>236</w:t>
            </w:r>
            <w:r>
              <w:rPr>
                <w:rFonts w:hint="eastAsia" w:ascii="Times New Roman" w:hAnsi="Times New Roman" w:cs="Times New Roman"/>
                <w:b w:val="0"/>
                <w:bCs w:val="0"/>
                <w:color w:val="000000"/>
              </w:rPr>
              <w:t>人</w:t>
            </w:r>
            <w:r>
              <w:rPr>
                <w:rFonts w:hint="eastAsia" w:ascii="Times New Roman" w:hAnsi="Times New Roman" w:cs="Times New Roman"/>
                <w:b w:val="0"/>
                <w:bCs w:val="0"/>
                <w:color w:val="000000"/>
                <w:lang w:eastAsia="zh-CN"/>
              </w:rPr>
              <w:t>（</w:t>
            </w:r>
            <w:r>
              <w:rPr>
                <w:rFonts w:hint="eastAsia" w:ascii="Times New Roman" w:hAnsi="Times New Roman" w:cs="Times New Roman"/>
                <w:b w:val="0"/>
                <w:bCs w:val="0"/>
                <w:color w:val="000000"/>
                <w:lang w:val="en-US" w:eastAsia="zh-CN"/>
              </w:rPr>
              <w:t>包括现场钻井（定向施工）作业人</w:t>
            </w:r>
            <w:r>
              <w:rPr>
                <w:rFonts w:hint="eastAsia" w:ascii="Times New Roman" w:hAnsi="Times New Roman" w:cs="Times New Roman"/>
                <w:b w:val="0"/>
                <w:bCs w:val="0"/>
                <w:color w:val="auto"/>
                <w:lang w:val="en-US" w:eastAsia="zh-CN"/>
              </w:rPr>
              <w:t>员共</w:t>
            </w:r>
            <w:r>
              <w:rPr>
                <w:rFonts w:hint="eastAsia" w:cs="Times New Roman"/>
                <w:b w:val="0"/>
                <w:bCs w:val="0"/>
                <w:color w:val="auto"/>
                <w:lang w:val="en-US" w:eastAsia="zh-CN"/>
              </w:rPr>
              <w:t>99</w:t>
            </w:r>
            <w:r>
              <w:rPr>
                <w:rFonts w:hint="eastAsia" w:ascii="Times New Roman" w:hAnsi="Times New Roman" w:cs="Times New Roman"/>
                <w:b w:val="0"/>
                <w:bCs w:val="0"/>
                <w:color w:val="auto"/>
                <w:lang w:val="en-US" w:eastAsia="zh-CN"/>
              </w:rPr>
              <w:t>人</w:t>
            </w:r>
            <w:r>
              <w:rPr>
                <w:rFonts w:hint="eastAsia" w:ascii="Times New Roman" w:hAnsi="Times New Roman" w:cs="Times New Roman"/>
                <w:b w:val="0"/>
                <w:bCs w:val="0"/>
                <w:color w:val="000000"/>
                <w:lang w:val="en-US" w:eastAsia="zh-CN"/>
              </w:rPr>
              <w:t>）</w:t>
            </w:r>
            <w:r>
              <w:rPr>
                <w:rFonts w:hint="eastAsia" w:ascii="Times New Roman" w:hAnsi="Times New Roman" w:cs="Times New Roman"/>
                <w:b w:val="0"/>
                <w:bCs w:val="0"/>
                <w:color w:val="000000"/>
              </w:rPr>
              <w:t>直接与</w:t>
            </w:r>
            <w:r>
              <w:rPr>
                <w:rFonts w:hint="eastAsia" w:ascii="Times New Roman" w:hAnsi="Times New Roman" w:cs="Times New Roman"/>
                <w:b w:val="0"/>
                <w:bCs w:val="0"/>
                <w:color w:val="000000"/>
                <w:lang w:eastAsia="zh-CN"/>
              </w:rPr>
              <w:t>斯伦贝谢油田技术（山东）有限公司</w:t>
            </w:r>
            <w:r>
              <w:rPr>
                <w:rFonts w:hint="eastAsia" w:ascii="Times New Roman" w:hAnsi="Times New Roman" w:cs="Times New Roman"/>
                <w:b w:val="0"/>
                <w:bCs w:val="0"/>
                <w:color w:val="000000"/>
              </w:rPr>
              <w:t>签订有劳动合同，并在</w:t>
            </w:r>
            <w:r>
              <w:rPr>
                <w:rFonts w:hint="eastAsia" w:ascii="Times New Roman" w:hAnsi="Times New Roman" w:cs="Times New Roman"/>
                <w:b w:val="0"/>
                <w:bCs w:val="0"/>
                <w:color w:val="000000"/>
                <w:lang w:eastAsia="zh-CN"/>
              </w:rPr>
              <w:t>斯伦贝谢油田技术（山东）有限公司</w:t>
            </w:r>
            <w:r>
              <w:rPr>
                <w:rFonts w:hint="eastAsia" w:ascii="Times New Roman" w:hAnsi="Times New Roman" w:cs="Times New Roman"/>
                <w:b w:val="0"/>
                <w:bCs w:val="0"/>
                <w:color w:val="000000"/>
              </w:rPr>
              <w:t>缴纳社会保险，</w:t>
            </w:r>
            <w:r>
              <w:rPr>
                <w:rFonts w:hint="eastAsia" w:ascii="Times New Roman" w:hAnsi="Times New Roman" w:cs="Times New Roman"/>
                <w:b w:val="0"/>
                <w:bCs w:val="0"/>
                <w:color w:val="000000"/>
                <w:lang w:val="en-US" w:eastAsia="zh-CN"/>
              </w:rPr>
              <w:t>行政部中有11人为劳务派遣工</w:t>
            </w:r>
            <w:r>
              <w:rPr>
                <w:rFonts w:hint="eastAsia"/>
                <w:b/>
                <w:bCs/>
                <w:sz w:val="24"/>
                <w:szCs w:val="28"/>
                <w:lang w:eastAsia="zh-CN"/>
              </w:rPr>
              <w:t>（</w:t>
            </w:r>
            <w:r>
              <w:rPr>
                <w:rFonts w:hint="eastAsia"/>
                <w:b/>
                <w:bCs/>
                <w:sz w:val="24"/>
                <w:szCs w:val="28"/>
                <w:lang w:val="en-US" w:eastAsia="zh-CN"/>
              </w:rPr>
              <w:t>涉及公司机密不予以公开</w:t>
            </w:r>
            <w:r>
              <w:rPr>
                <w:rFonts w:hint="eastAsia"/>
                <w:b/>
                <w:bCs/>
                <w:sz w:val="24"/>
                <w:szCs w:val="28"/>
                <w:lang w:eastAsia="zh-CN"/>
              </w:rPr>
              <w:t>）</w:t>
            </w:r>
            <w:r>
              <w:rPr>
                <w:rFonts w:hint="eastAsia" w:ascii="Times New Roman" w:hAnsi="Times New Roman" w:cs="Times New Roman"/>
                <w:b w:val="0"/>
                <w:bCs w:val="0"/>
                <w:color w:val="000000"/>
                <w:lang w:val="en-US" w:eastAsia="zh-CN"/>
              </w:rPr>
              <w:t>。</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8</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制定防治职业危害的具体措施，并为从业人员配备符合国家标准或者行业标准的劳动防护用品</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制</w:t>
            </w:r>
            <w:r>
              <w:rPr>
                <w:rFonts w:hint="eastAsia" w:ascii="Times New Roman" w:hAnsi="Times New Roman" w:eastAsia="宋体" w:cs="Times New Roman"/>
                <w:b w:val="0"/>
                <w:bCs w:val="0"/>
                <w:color w:val="000000"/>
                <w:lang w:val="en-US" w:eastAsia="zh-CN"/>
              </w:rPr>
              <w:t>定职业卫生管理制度、职业性健康检查管理制度等制度，并为从业人员按照国家标准发放工衣、工鞋、安全帽、手套、安全防护眼镜等，建有发放台账。</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color w:val="000000"/>
                <w:szCs w:val="21"/>
                <w:lang w:val="en-US" w:eastAsia="zh-CN"/>
              </w:rPr>
            </w:pPr>
            <w:r>
              <w:rPr>
                <w:rFonts w:hint="eastAsia" w:ascii="Times New Roman" w:hAnsi="Times New Roman" w:eastAsia="宋体" w:cs="Times New Roman"/>
                <w:smallCaps w:val="0"/>
                <w:color w:val="000000"/>
                <w:szCs w:val="21"/>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9</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新建、改建、扩建工程项目依法进行安全评价，其安全设施经验收合格</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smallCaps w:val="0"/>
                <w:szCs w:val="24"/>
              </w:rPr>
            </w:pPr>
            <w:r>
              <w:rPr>
                <w:rFonts w:hint="default"/>
                <w:color w:val="000000"/>
              </w:rPr>
              <w:t>不涉及此项。</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mallCaps w:val="0"/>
                <w:szCs w:val="24"/>
              </w:rPr>
            </w:pPr>
            <w:r>
              <w:rPr>
                <w:rFonts w:hint="eastAsia"/>
                <w:color w:val="00000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10</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危险性较大的设备、设施按照国家有关规定进行定期检测检验</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ascii="Times New Roman" w:hAnsi="Times New Roman" w:eastAsia="宋体" w:cs="Times New Roman"/>
                <w:color w:val="000000"/>
                <w:kern w:val="2"/>
                <w:sz w:val="21"/>
                <w:szCs w:val="24"/>
                <w:lang w:val="en-US" w:eastAsia="zh-CN" w:bidi="ar-SA"/>
              </w:rPr>
            </w:pPr>
            <w:r>
              <w:rPr>
                <w:rFonts w:hint="eastAsia"/>
                <w:lang w:val="en-US" w:eastAsia="zh-CN"/>
              </w:rPr>
              <w:t>无磁钻铤、测斜仪器等危险性较大的设备、设施已</w:t>
            </w:r>
            <w:r>
              <w:rPr>
                <w:rFonts w:hint="eastAsia"/>
              </w:rPr>
              <w:t>按照国家有关规定进行定期检测检验</w:t>
            </w:r>
            <w:r>
              <w:rPr>
                <w:rFonts w:hint="eastAsia"/>
                <w:lang w:eastAsia="zh-CN"/>
              </w:rPr>
              <w:t>。</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color w:val="000000"/>
                <w:kern w:val="2"/>
                <w:sz w:val="21"/>
                <w:szCs w:val="24"/>
                <w:lang w:val="en-US" w:eastAsia="zh-CN" w:bidi="ar-SA"/>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11</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制定事故应急救援预案，建立事故应急救援组织，配备必要的应急救援器材、设备；生产规模较小可以不建立事故应急救援组织的，应当指定兼职的应急救援人员，并与邻近的矿山救护队或者其他应急救援组织签订救护协议</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leftChars="0" w:right="0" w:rightChars="0"/>
              <w:rPr>
                <w:rFonts w:hint="default" w:ascii="Times New Roman" w:hAnsi="Times New Roman" w:eastAsia="宋体" w:cs="Times New Roman"/>
                <w:smallCaps w:val="0"/>
                <w:szCs w:val="24"/>
              </w:rPr>
            </w:pPr>
            <w:r>
              <w:rPr>
                <w:rFonts w:hint="eastAsia" w:cs="Times New Roman"/>
                <w:b w:val="0"/>
                <w:bCs w:val="0"/>
                <w:color w:val="000000"/>
                <w:lang w:val="en-US" w:eastAsia="zh-CN"/>
              </w:rPr>
              <w:t>该公司已</w:t>
            </w:r>
            <w:r>
              <w:rPr>
                <w:rFonts w:hint="default" w:ascii="Times New Roman" w:hAnsi="Times New Roman" w:cs="Times New Roman"/>
                <w:b w:val="0"/>
                <w:bCs w:val="0"/>
                <w:color w:val="000000"/>
              </w:rPr>
              <w:t>编制有事</w:t>
            </w:r>
            <w:r>
              <w:rPr>
                <w:rFonts w:hint="default" w:cs="Times New Roman"/>
                <w:b w:val="0"/>
                <w:bCs w:val="0"/>
                <w:color w:val="000000"/>
                <w:lang w:val="en-US" w:eastAsia="zh-CN"/>
              </w:rPr>
              <w:t>故应急救援预案</w:t>
            </w:r>
            <w:r>
              <w:rPr>
                <w:rFonts w:hint="eastAsia" w:cs="Times New Roman"/>
                <w:b w:val="0"/>
                <w:bCs w:val="0"/>
                <w:color w:val="000000"/>
                <w:lang w:val="en-US" w:eastAsia="zh-CN"/>
              </w:rPr>
              <w:t>，已于2022年1月18日在东营经济技术开发区应急管理部备案（备案编号：370504-2022-0008），公司与甲方所签订的HSE合同中含有应急救援部分内容</w:t>
            </w:r>
            <w:r>
              <w:rPr>
                <w:rFonts w:hint="default" w:cs="Times New Roman"/>
                <w:b w:val="0"/>
                <w:bCs w:val="0"/>
                <w:color w:val="000000"/>
                <w:lang w:val="en-US" w:eastAsia="zh-CN"/>
              </w:rPr>
              <w:t>。</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leftChars="0" w:right="0" w:rightChars="0"/>
              <w:jc w:val="center"/>
              <w:rPr>
                <w:rFonts w:hint="default" w:ascii="Times New Roman" w:hAnsi="Times New Roman" w:eastAsia="宋体" w:cs="Times New Roman"/>
                <w:smallCaps w:val="0"/>
                <w:szCs w:val="24"/>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12</w:t>
            </w:r>
          </w:p>
        </w:tc>
        <w:tc>
          <w:tcPr>
            <w:tcW w:w="3261" w:type="dxa"/>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eastAsia="zh-CN"/>
              </w:rPr>
            </w:pPr>
            <w:r>
              <w:rPr>
                <w:rFonts w:hint="eastAsia"/>
              </w:rPr>
              <w:t>符合有关国家标准、行业标准规定的其他条件</w:t>
            </w:r>
            <w:r>
              <w:rPr>
                <w:rFonts w:hint="eastAsia"/>
                <w:lang w:eastAsia="zh-CN"/>
              </w:rPr>
              <w:t>。</w:t>
            </w:r>
          </w:p>
        </w:tc>
        <w:tc>
          <w:tcPr>
            <w:tcW w:w="3041" w:type="dxa"/>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具有</w:t>
            </w:r>
            <w:r>
              <w:rPr>
                <w:rFonts w:hint="eastAsia"/>
              </w:rPr>
              <w:t>有关国家标准、行业标准规定的其他条件</w:t>
            </w:r>
            <w:r>
              <w:rPr>
                <w:rFonts w:hint="eastAsia"/>
                <w:lang w:eastAsia="zh-CN"/>
              </w:rPr>
              <w:t>。</w:t>
            </w:r>
          </w:p>
        </w:tc>
        <w:tc>
          <w:tcPr>
            <w:tcW w:w="1575" w:type="dxa"/>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eastAsia" w:ascii="Times New Roman" w:hAnsi="Times New Roman" w:eastAsia="宋体" w:cs="Times New Roman"/>
                <w:smallCaps w:val="0"/>
                <w:szCs w:val="24"/>
                <w:lang w:val="en-US" w:eastAsia="zh-CN"/>
              </w:rPr>
            </w:pPr>
            <w:r>
              <w:rPr>
                <w:rFonts w:hint="eastAsia" w:ascii="Times New Roman" w:hAnsi="Times New Roman" w:eastAsia="宋体" w:cs="Times New Roman"/>
                <w:smallCaps w:val="0"/>
                <w:szCs w:val="24"/>
                <w:lang w:val="en-US" w:eastAsia="zh-CN"/>
              </w:rPr>
              <w:t>符合要求</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0" w:firstLineChars="200"/>
        <w:textAlignment w:val="auto"/>
        <w:rPr>
          <w:rFonts w:hint="eastAsia" w:cs="Times New Roman"/>
          <w:color w:val="000000"/>
          <w:sz w:val="28"/>
          <w:szCs w:val="28"/>
          <w:lang w:val="en-US" w:eastAsia="zh-CN"/>
        </w:rPr>
      </w:pPr>
      <w:r>
        <w:rPr>
          <w:rFonts w:hint="eastAsia" w:cs="Times New Roman"/>
          <w:color w:val="000000"/>
          <w:sz w:val="28"/>
          <w:szCs w:val="28"/>
          <w:lang w:val="en-US" w:eastAsia="zh-CN"/>
        </w:rPr>
        <w:t>评价小结：</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b/>
          <w:sz w:val="24"/>
          <w:szCs w:val="28"/>
          <w:lang w:val="en-US" w:eastAsia="zh-CN"/>
        </w:rPr>
      </w:pPr>
      <w:r>
        <w:rPr>
          <w:rFonts w:hint="default" w:ascii="Times New Roman" w:hAnsi="Times New Roman" w:cs="Times New Roman"/>
          <w:color w:val="000000"/>
          <w:sz w:val="28"/>
          <w:szCs w:val="28"/>
          <w:lang w:val="en-US" w:eastAsia="zh-CN"/>
        </w:rPr>
        <w:t>经过现场检查和评价，该企业涉及的钻井（定向施工）</w:t>
      </w:r>
      <w:r>
        <w:rPr>
          <w:rFonts w:hint="eastAsia" w:cs="Times New Roman"/>
          <w:color w:val="000000"/>
          <w:sz w:val="28"/>
          <w:szCs w:val="28"/>
          <w:lang w:val="en-US" w:eastAsia="zh-CN"/>
        </w:rPr>
        <w:t>项目</w:t>
      </w:r>
      <w:r>
        <w:rPr>
          <w:rFonts w:hint="eastAsia" w:ascii="Times New Roman" w:hAnsi="Times New Roman" w:cs="Times New Roman"/>
          <w:color w:val="000000"/>
          <w:sz w:val="28"/>
          <w:szCs w:val="28"/>
          <w:lang w:val="en-US" w:eastAsia="zh-CN"/>
        </w:rPr>
        <w:t>取证安全生产条件</w:t>
      </w:r>
      <w:r>
        <w:rPr>
          <w:rFonts w:hint="default" w:ascii="Times New Roman" w:hAnsi="Times New Roman" w:cs="Times New Roman"/>
          <w:color w:val="000000"/>
          <w:sz w:val="28"/>
          <w:szCs w:val="28"/>
          <w:lang w:val="en-US" w:eastAsia="zh-CN"/>
        </w:rPr>
        <w:t>有</w:t>
      </w:r>
      <w:r>
        <w:rPr>
          <w:rFonts w:hint="eastAsia" w:cs="Times New Roman"/>
          <w:color w:val="000000"/>
          <w:sz w:val="28"/>
          <w:szCs w:val="28"/>
          <w:lang w:val="en-US" w:eastAsia="zh-CN"/>
        </w:rPr>
        <w:t>10</w:t>
      </w:r>
      <w:r>
        <w:rPr>
          <w:rFonts w:hint="default" w:ascii="Times New Roman" w:hAnsi="Times New Roman" w:cs="Times New Roman"/>
          <w:color w:val="000000"/>
          <w:sz w:val="28"/>
          <w:szCs w:val="28"/>
          <w:lang w:val="en-US" w:eastAsia="zh-CN"/>
        </w:rPr>
        <w:t>项</w:t>
      </w:r>
      <w:r>
        <w:rPr>
          <w:rFonts w:hint="eastAsia" w:ascii="Times New Roman" w:hAnsi="Times New Roman" w:cs="Times New Roman"/>
          <w:color w:val="000000"/>
          <w:sz w:val="28"/>
          <w:szCs w:val="28"/>
          <w:lang w:val="en-US" w:eastAsia="zh-CN"/>
        </w:rPr>
        <w:t>检查</w:t>
      </w:r>
      <w:r>
        <w:rPr>
          <w:rFonts w:hint="default" w:ascii="Times New Roman" w:hAnsi="Times New Roman" w:cs="Times New Roman"/>
          <w:color w:val="000000"/>
          <w:sz w:val="28"/>
          <w:szCs w:val="28"/>
          <w:lang w:val="en-US" w:eastAsia="zh-CN"/>
        </w:rPr>
        <w:t>项为符合，</w:t>
      </w:r>
      <w:r>
        <w:rPr>
          <w:rFonts w:hint="eastAsia" w:cs="Times New Roman"/>
          <w:color w:val="000000"/>
          <w:sz w:val="28"/>
          <w:szCs w:val="28"/>
          <w:lang w:val="en-US" w:eastAsia="zh-CN"/>
        </w:rPr>
        <w:t>2</w:t>
      </w:r>
      <w:r>
        <w:rPr>
          <w:rFonts w:hint="default" w:ascii="Times New Roman" w:hAnsi="Times New Roman" w:cs="Times New Roman"/>
          <w:color w:val="000000"/>
          <w:sz w:val="28"/>
          <w:szCs w:val="28"/>
          <w:lang w:val="en-US" w:eastAsia="zh-CN"/>
        </w:rPr>
        <w:t>项</w:t>
      </w:r>
      <w:r>
        <w:rPr>
          <w:rFonts w:hint="eastAsia" w:ascii="Times New Roman" w:hAnsi="Times New Roman" w:cs="Times New Roman"/>
          <w:color w:val="000000"/>
          <w:sz w:val="28"/>
          <w:szCs w:val="28"/>
          <w:lang w:val="en-US" w:eastAsia="zh-CN"/>
        </w:rPr>
        <w:t>检查</w:t>
      </w:r>
      <w:r>
        <w:rPr>
          <w:rFonts w:hint="default" w:ascii="Times New Roman" w:hAnsi="Times New Roman" w:cs="Times New Roman"/>
          <w:color w:val="000000"/>
          <w:sz w:val="28"/>
          <w:szCs w:val="28"/>
          <w:lang w:val="en-US" w:eastAsia="zh-CN"/>
        </w:rPr>
        <w:t>项为不涉及，因此</w:t>
      </w:r>
      <w:r>
        <w:rPr>
          <w:rFonts w:hint="default" w:ascii="Times New Roman" w:hAnsi="Times New Roman" w:cs="Times New Roman"/>
          <w:b w:val="0"/>
          <w:bCs/>
          <w:smallCaps w:val="0"/>
          <w:sz w:val="28"/>
          <w:lang w:eastAsia="zh-CN"/>
        </w:rPr>
        <w:t>斯伦贝谢油田技术（山东）有限公司</w:t>
      </w:r>
      <w:r>
        <w:rPr>
          <w:rFonts w:hint="default" w:ascii="Times New Roman" w:hAnsi="Times New Roman" w:cs="Times New Roman"/>
          <w:b w:val="0"/>
          <w:bCs/>
          <w:smallCaps w:val="0"/>
          <w:sz w:val="28"/>
          <w:lang w:val="en-US" w:eastAsia="zh-CN"/>
        </w:rPr>
        <w:t>具备</w:t>
      </w:r>
      <w:r>
        <w:rPr>
          <w:rFonts w:hint="default" w:ascii="Times New Roman" w:hAnsi="Times New Roman" w:cs="Times New Roman"/>
          <w:b w:val="0"/>
          <w:bCs/>
          <w:smallCaps w:val="0"/>
          <w:sz w:val="28"/>
          <w:lang w:eastAsia="zh-CN"/>
        </w:rPr>
        <w:t>钻井（</w:t>
      </w:r>
      <w:r>
        <w:rPr>
          <w:rFonts w:hint="default" w:ascii="Times New Roman" w:hAnsi="Times New Roman" w:cs="Times New Roman"/>
          <w:b w:val="0"/>
          <w:bCs/>
          <w:smallCaps w:val="0"/>
          <w:sz w:val="28"/>
          <w:lang w:val="en-US" w:eastAsia="zh-CN"/>
        </w:rPr>
        <w:t>定向施工）</w:t>
      </w:r>
      <w:r>
        <w:rPr>
          <w:rFonts w:hint="eastAsia" w:cs="Times New Roman"/>
          <w:b w:val="0"/>
          <w:bCs/>
          <w:smallCaps w:val="0"/>
          <w:sz w:val="28"/>
          <w:lang w:val="en-US" w:eastAsia="zh-CN"/>
        </w:rPr>
        <w:t>项目</w:t>
      </w:r>
      <w:r>
        <w:rPr>
          <w:rFonts w:hint="default" w:ascii="Times New Roman" w:hAnsi="Times New Roman" w:cs="Times New Roman"/>
          <w:b w:val="0"/>
          <w:bCs/>
          <w:smallCaps w:val="0"/>
          <w:sz w:val="28"/>
          <w:lang w:val="en-US" w:eastAsia="zh-CN"/>
        </w:rPr>
        <w:t>的安全生产条件</w:t>
      </w:r>
      <w:r>
        <w:rPr>
          <w:rFonts w:hint="default" w:ascii="Times New Roman" w:hAnsi="Times New Roman" w:cs="Times New Roman"/>
          <w:color w:val="000000"/>
          <w:sz w:val="28"/>
          <w:szCs w:val="28"/>
          <w:lang w:eastAsia="zh-CN"/>
        </w:rPr>
        <w:t>。</w:t>
      </w:r>
    </w:p>
    <w:p>
      <w:pPr>
        <w:adjustRightInd w:val="0"/>
        <w:snapToGrid w:val="0"/>
        <w:spacing w:line="360" w:lineRule="auto"/>
        <w:ind w:firstLine="560" w:firstLineChars="200"/>
        <w:rPr>
          <w:rFonts w:hint="eastAsia" w:ascii="Times New Roman" w:hAnsi="Times New Roman" w:eastAsia="宋体" w:cs="Times New Roman"/>
          <w:color w:val="000000"/>
          <w:sz w:val="28"/>
          <w:szCs w:val="28"/>
          <w:lang w:val="en-US" w:eastAsia="zh-CN"/>
        </w:rPr>
      </w:pPr>
      <w:r>
        <w:rPr>
          <w:rFonts w:hint="eastAsia" w:cs="Times New Roman"/>
          <w:color w:val="000000"/>
          <w:sz w:val="28"/>
          <w:szCs w:val="28"/>
          <w:lang w:val="en-US" w:eastAsia="zh-CN"/>
        </w:rPr>
        <w:t>.</w:t>
      </w:r>
    </w:p>
    <w:p>
      <w:pPr>
        <w:pStyle w:val="22"/>
        <w:adjustRightInd w:val="0"/>
        <w:snapToGrid w:val="0"/>
        <w:spacing w:after="0" w:line="360" w:lineRule="auto"/>
        <w:jc w:val="center"/>
        <w:rPr>
          <w:rFonts w:hint="default" w:ascii="Times New Roman" w:hAnsi="Times New Roman" w:eastAsia="宋体" w:cs="Times New Roman"/>
          <w:color w:val="000000"/>
          <w:sz w:val="24"/>
          <w:szCs w:val="24"/>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adjustRightInd w:val="0"/>
        <w:snapToGrid w:val="0"/>
        <w:spacing w:line="360" w:lineRule="auto"/>
        <w:ind w:firstLine="480" w:firstLineChars="200"/>
        <w:jc w:val="center"/>
        <w:rPr>
          <w:rFonts w:hint="default"/>
          <w:b/>
          <w:sz w:val="24"/>
          <w:szCs w:val="28"/>
          <w:lang w:val="en-US" w:eastAsia="zh-CN"/>
        </w:rPr>
      </w:pPr>
      <w:r>
        <w:rPr>
          <w:rFonts w:hint="default"/>
          <w:b/>
          <w:sz w:val="24"/>
          <w:szCs w:val="28"/>
        </w:rPr>
        <w:t>表</w:t>
      </w:r>
      <w:r>
        <w:rPr>
          <w:rFonts w:hint="eastAsia"/>
          <w:b/>
          <w:sz w:val="24"/>
          <w:szCs w:val="28"/>
          <w:lang w:val="en-US" w:eastAsia="zh-CN"/>
        </w:rPr>
        <w:t>8</w:t>
      </w:r>
      <w:r>
        <w:rPr>
          <w:rFonts w:hint="default"/>
          <w:b/>
          <w:sz w:val="24"/>
          <w:szCs w:val="28"/>
        </w:rPr>
        <w:t>-</w:t>
      </w:r>
      <w:r>
        <w:rPr>
          <w:rFonts w:hint="eastAsia"/>
          <w:b/>
          <w:sz w:val="24"/>
          <w:szCs w:val="28"/>
          <w:lang w:val="en-US" w:eastAsia="zh-CN"/>
        </w:rPr>
        <w:t>2</w:t>
      </w:r>
      <w:r>
        <w:rPr>
          <w:rFonts w:hint="default"/>
          <w:b/>
          <w:sz w:val="24"/>
          <w:szCs w:val="28"/>
        </w:rPr>
        <w:t xml:space="preserve"> </w:t>
      </w:r>
      <w:r>
        <w:rPr>
          <w:rFonts w:hint="eastAsia" w:ascii="Times New Roman" w:hAnsi="Times New Roman" w:eastAsia="宋体" w:cs="Times New Roman"/>
          <w:b/>
          <w:sz w:val="24"/>
          <w:szCs w:val="28"/>
          <w:lang w:val="en-US" w:eastAsia="zh-CN"/>
        </w:rPr>
        <w:t>非煤矿矿山企业安全生产许可证</w:t>
      </w:r>
      <w:r>
        <w:rPr>
          <w:rFonts w:hint="eastAsia" w:cs="Times New Roman"/>
          <w:b/>
          <w:sz w:val="24"/>
          <w:szCs w:val="28"/>
          <w:lang w:val="en-US" w:eastAsia="zh-CN"/>
        </w:rPr>
        <w:t>审查书</w:t>
      </w:r>
    </w:p>
    <w:tbl>
      <w:tblPr>
        <w:tblStyle w:val="52"/>
        <w:tblW w:w="47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99"/>
        <w:gridCol w:w="3439"/>
        <w:gridCol w:w="4829"/>
        <w:gridCol w:w="14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jc w:val="center"/>
        </w:trPr>
        <w:tc>
          <w:tcPr>
            <w:tcW w:w="1433"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审查内容</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bCs/>
                <w:color w:val="000000"/>
              </w:rPr>
            </w:pPr>
            <w:r>
              <w:rPr>
                <w:rFonts w:hint="default" w:ascii="Times New Roman" w:hAnsi="Times New Roman" w:cs="Times New Roman"/>
                <w:b/>
                <w:bCs/>
                <w:color w:val="000000"/>
              </w:rPr>
              <w:t>审查方法</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bCs/>
                <w:color w:val="000000"/>
                <w:kern w:val="2"/>
                <w:sz w:val="21"/>
                <w:szCs w:val="24"/>
                <w:lang w:val="en-US" w:eastAsia="zh-CN" w:bidi="ar-SA"/>
              </w:rPr>
            </w:pPr>
            <w:r>
              <w:rPr>
                <w:rFonts w:hint="eastAsia" w:cs="Times New Roman"/>
                <w:b/>
                <w:bCs/>
                <w:color w:val="000000"/>
                <w:lang w:val="en-US" w:eastAsia="zh-CN"/>
              </w:rPr>
              <w:t>实际情况</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bCs/>
                <w:color w:val="000000"/>
              </w:rPr>
            </w:pPr>
            <w:r>
              <w:rPr>
                <w:rFonts w:hint="eastAsia" w:cs="Times New Roman"/>
                <w:b/>
                <w:bCs/>
                <w:color w:val="000000"/>
                <w:lang w:val="en-US" w:eastAsia="zh-CN"/>
              </w:rPr>
              <w:t>评价</w:t>
            </w:r>
            <w:r>
              <w:rPr>
                <w:rFonts w:hint="default" w:ascii="Times New Roman" w:hAnsi="Times New Roman" w:cs="Times New Roman"/>
                <w:b/>
                <w:bCs/>
                <w:color w:val="000000"/>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1.工商营业执照复印件。</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审查工商营业执照登记名称是否与申请单位名称一致；经营范围是否与申请许可范围相符；是否在有效期并进行年检。</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default" w:ascii="Times New Roman" w:hAnsi="Times New Roman" w:cs="Times New Roman"/>
                <w:b w:val="0"/>
                <w:bCs w:val="0"/>
                <w:color w:val="000000"/>
              </w:rPr>
              <w:t>单位名称一致，</w:t>
            </w:r>
            <w:r>
              <w:rPr>
                <w:rFonts w:hint="eastAsia"/>
                <w:lang w:val="en-US" w:eastAsia="zh-CN"/>
              </w:rPr>
              <w:t>营业执照经营范围中的“定向钻井”与申请许可范围“钻井（定向施工）”相符</w:t>
            </w:r>
            <w:r>
              <w:rPr>
                <w:rFonts w:hint="default" w:ascii="Times New Roman" w:hAnsi="Times New Roman" w:cs="Times New Roman"/>
                <w:b w:val="0"/>
                <w:bCs w:val="0"/>
                <w:color w:val="000000"/>
              </w:rPr>
              <w:t>，在有效期内并进行年检。</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color w:val="000000"/>
                <w:lang w:val="en-US" w:eastAsia="zh-CN"/>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2.采矿许可证（地质勘查资质证书、矿山工程施工相关资质证书）复印件。</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审查证书是否在有效期内。</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default" w:ascii="Times New Roman" w:hAnsi="Times New Roman" w:cs="Times New Roman"/>
                <w:b w:val="0"/>
                <w:bCs w:val="0"/>
                <w:color w:val="000000"/>
              </w:rPr>
              <w:t>不涉及此项。</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color w:val="000000"/>
                <w:lang w:val="en-US" w:eastAsia="zh-CN"/>
              </w:rPr>
            </w:pPr>
            <w:r>
              <w:rPr>
                <w:rFonts w:hint="eastAsia" w:cs="Times New Roman"/>
                <w:b w:val="0"/>
                <w:bCs w:val="0"/>
                <w:color w:val="000000"/>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3.主要负责人、分管负责人、安全生产管理人员、职能部门、岗位安全生产责任制。</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审查各项安全生产责任制是否健全。</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ascii="宋体" w:hAnsi="宋体" w:cs="Times New Roman"/>
                <w:kern w:val="0"/>
                <w:szCs w:val="21"/>
                <w:lang w:val="en-US" w:eastAsia="zh-CN"/>
              </w:rPr>
              <w:t>已编</w:t>
            </w:r>
            <w:r>
              <w:rPr>
                <w:rFonts w:hint="default" w:ascii="Times New Roman" w:hAnsi="Times New Roman" w:cs="Times New Roman"/>
                <w:kern w:val="0"/>
                <w:szCs w:val="21"/>
                <w:lang w:val="en-US" w:eastAsia="zh-CN"/>
              </w:rPr>
              <w:t>制从</w:t>
            </w:r>
            <w:r>
              <w:rPr>
                <w:rFonts w:hint="eastAsia" w:ascii="Times New Roman" w:hAnsi="Times New Roman" w:cs="Times New Roman"/>
                <w:kern w:val="0"/>
                <w:szCs w:val="21"/>
                <w:lang w:val="en-US" w:eastAsia="zh-CN"/>
              </w:rPr>
              <w:t>董事长/</w:t>
            </w:r>
            <w:r>
              <w:rPr>
                <w:rFonts w:hint="default" w:ascii="Times New Roman" w:hAnsi="Times New Roman" w:cs="Times New Roman"/>
                <w:kern w:val="0"/>
                <w:szCs w:val="21"/>
                <w:lang w:val="en-US" w:eastAsia="zh-CN"/>
              </w:rPr>
              <w:t>总经理到</w:t>
            </w:r>
            <w:r>
              <w:rPr>
                <w:rFonts w:hint="eastAsia" w:ascii="Times New Roman" w:hAnsi="Times New Roman" w:cs="Times New Roman"/>
                <w:kern w:val="0"/>
                <w:szCs w:val="21"/>
                <w:lang w:val="en-US" w:eastAsia="zh-CN"/>
              </w:rPr>
              <w:t>文员等</w:t>
            </w:r>
            <w:r>
              <w:rPr>
                <w:rFonts w:hint="eastAsia" w:cs="Times New Roman"/>
                <w:kern w:val="0"/>
                <w:szCs w:val="21"/>
                <w:lang w:val="en-US" w:eastAsia="zh-CN"/>
              </w:rPr>
              <w:t>51</w:t>
            </w:r>
            <w:r>
              <w:rPr>
                <w:rFonts w:hint="eastAsia" w:ascii="Times New Roman" w:hAnsi="Times New Roman" w:cs="Times New Roman"/>
                <w:kern w:val="0"/>
                <w:szCs w:val="21"/>
                <w:lang w:val="en-US" w:eastAsia="zh-CN"/>
              </w:rPr>
              <w:t>项</w:t>
            </w:r>
            <w:r>
              <w:rPr>
                <w:rFonts w:hint="eastAsia" w:cs="Times New Roman"/>
                <w:kern w:val="0"/>
                <w:szCs w:val="21"/>
                <w:lang w:val="en-US" w:eastAsia="zh-CN"/>
              </w:rPr>
              <w:t>安全生产</w:t>
            </w:r>
            <w:r>
              <w:rPr>
                <w:rFonts w:hint="default" w:ascii="Times New Roman" w:hAnsi="Times New Roman" w:cs="Times New Roman"/>
                <w:kern w:val="0"/>
                <w:szCs w:val="21"/>
                <w:lang w:val="en-US" w:eastAsia="zh-CN"/>
              </w:rPr>
              <w:t>职</w:t>
            </w:r>
            <w:r>
              <w:rPr>
                <w:rFonts w:hint="eastAsia" w:ascii="宋体" w:hAnsi="宋体" w:cs="Times New Roman"/>
                <w:kern w:val="0"/>
                <w:szCs w:val="21"/>
                <w:lang w:val="en-US" w:eastAsia="zh-CN"/>
              </w:rPr>
              <w:t>责，涵盖</w:t>
            </w:r>
            <w:r>
              <w:rPr>
                <w:rFonts w:hint="eastAsia" w:ascii="Times New Roman" w:hAnsi="Times New Roman" w:cs="Times New Roman"/>
                <w:kern w:val="0"/>
                <w:szCs w:val="21"/>
              </w:rPr>
              <w:t>全体从业人员</w:t>
            </w:r>
            <w:r>
              <w:rPr>
                <w:rFonts w:hint="default" w:ascii="Times New Roman" w:hAnsi="Times New Roman" w:cs="Times New Roman"/>
                <w:b w:val="0"/>
                <w:bCs w:val="0"/>
                <w:color w:val="000000"/>
              </w:rPr>
              <w:t>。</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4.安全生产规章制度目录清单；作业安全规程和各工种操作规程目录清单。</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审查各项规章制度、作业安全规程、操作规程是否健全。</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ascii="宋体" w:hAnsi="宋体" w:cs="Times New Roman"/>
                <w:color w:val="auto"/>
                <w:kern w:val="0"/>
                <w:szCs w:val="21"/>
                <w:lang w:val="en-US" w:eastAsia="zh-CN"/>
              </w:rPr>
              <w:t>该公司制定了安全生</w:t>
            </w:r>
            <w:r>
              <w:rPr>
                <w:rFonts w:hint="default" w:ascii="Times New Roman" w:hAnsi="Times New Roman" w:cs="Times New Roman"/>
                <w:color w:val="auto"/>
                <w:kern w:val="0"/>
                <w:szCs w:val="21"/>
                <w:lang w:val="en-US" w:eastAsia="zh-CN"/>
              </w:rPr>
              <w:t>产例会制度、安全生产检查制度、安全教育培训制度、安全设备设施管理制度等4</w:t>
            </w:r>
            <w:r>
              <w:rPr>
                <w:rFonts w:hint="eastAsia" w:cs="Times New Roman"/>
                <w:color w:val="auto"/>
                <w:kern w:val="0"/>
                <w:szCs w:val="21"/>
                <w:lang w:val="en-US" w:eastAsia="zh-CN"/>
              </w:rPr>
              <w:t>4</w:t>
            </w:r>
            <w:r>
              <w:rPr>
                <w:rFonts w:hint="default" w:ascii="Times New Roman" w:hAnsi="Times New Roman" w:cs="Times New Roman"/>
                <w:color w:val="auto"/>
                <w:kern w:val="0"/>
                <w:szCs w:val="21"/>
                <w:lang w:val="en-US" w:eastAsia="zh-CN"/>
              </w:rPr>
              <w:t>项安全管理制度</w:t>
            </w:r>
            <w:r>
              <w:rPr>
                <w:rFonts w:hint="eastAsia" w:ascii="Times New Roman" w:hAnsi="Times New Roman" w:cs="Times New Roman"/>
                <w:color w:val="auto"/>
                <w:kern w:val="0"/>
                <w:szCs w:val="21"/>
                <w:lang w:val="en-US" w:eastAsia="zh-CN"/>
              </w:rPr>
              <w:t>；</w:t>
            </w:r>
            <w:r>
              <w:rPr>
                <w:rFonts w:hint="eastAsia" w:ascii="宋体" w:hAnsi="宋体" w:cs="Times New Roman"/>
                <w:color w:val="auto"/>
                <w:kern w:val="0"/>
                <w:szCs w:val="21"/>
                <w:lang w:val="en-US" w:eastAsia="zh-CN"/>
              </w:rPr>
              <w:t>制定有</w:t>
            </w:r>
            <w:r>
              <w:rPr>
                <w:rFonts w:hint="eastAsia" w:ascii="宋体" w:hAnsi="宋体" w:cs="Times New Roman"/>
                <w:kern w:val="0"/>
                <w:szCs w:val="21"/>
                <w:lang w:val="en-US" w:eastAsia="zh-CN"/>
              </w:rPr>
              <w:t>仪表/工程施工人员操作规程</w:t>
            </w:r>
            <w:r>
              <w:rPr>
                <w:rFonts w:hint="default" w:ascii="Times New Roman" w:hAnsi="Times New Roman" w:cs="Times New Roman"/>
                <w:b w:val="0"/>
                <w:bCs w:val="0"/>
                <w:color w:val="000000"/>
              </w:rPr>
              <w:t>。</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5.设置安全生产管理机构或者配备专职安全生产管理人员的文件复印件。</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审查文件是否有效。</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ascii="宋体" w:hAnsi="宋体"/>
                <w:kern w:val="0"/>
                <w:szCs w:val="21"/>
              </w:rPr>
              <w:t>《关</w:t>
            </w:r>
            <w:r>
              <w:rPr>
                <w:rFonts w:hint="default"/>
                <w:kern w:val="0"/>
                <w:szCs w:val="21"/>
              </w:rPr>
              <w:t>于成立斯伦贝谢油田技术（山东）有限公司安全生产管理委员会和配备安全生产管理员的通知》（金地字[2022]0</w:t>
            </w:r>
            <w:r>
              <w:rPr>
                <w:rFonts w:hint="eastAsia"/>
                <w:kern w:val="0"/>
                <w:szCs w:val="21"/>
                <w:lang w:val="en-US" w:eastAsia="zh-CN"/>
              </w:rPr>
              <w:t>3</w:t>
            </w:r>
            <w:r>
              <w:rPr>
                <w:rFonts w:hint="default"/>
                <w:kern w:val="0"/>
                <w:szCs w:val="21"/>
              </w:rPr>
              <w:t>号）</w:t>
            </w:r>
            <w:r>
              <w:rPr>
                <w:rFonts w:hint="eastAsia"/>
                <w:kern w:val="0"/>
                <w:szCs w:val="21"/>
              </w:rPr>
              <w:t>中规定安全部为安全生产管理机构</w:t>
            </w:r>
            <w:r>
              <w:rPr>
                <w:rFonts w:hint="eastAsia" w:ascii="Times New Roman" w:hAnsi="Times New Roman" w:cs="Times New Roman"/>
                <w:kern w:val="0"/>
                <w:szCs w:val="21"/>
              </w:rPr>
              <w:t>，</w:t>
            </w:r>
            <w:r>
              <w:rPr>
                <w:rFonts w:hint="eastAsia" w:ascii="Times New Roman" w:hAnsi="Times New Roman" w:cs="Times New Roman"/>
                <w:kern w:val="0"/>
                <w:szCs w:val="21"/>
                <w:lang w:val="en-US" w:eastAsia="zh-CN"/>
              </w:rPr>
              <w:t>陈景霞为安全部经理，隋维县、王天梦为专职安全管理人员，</w:t>
            </w:r>
            <w:r>
              <w:rPr>
                <w:rFonts w:hint="eastAsia"/>
                <w:kern w:val="0"/>
                <w:szCs w:val="21"/>
              </w:rPr>
              <w:t>另任命张士雄为安全总监</w:t>
            </w:r>
            <w:r>
              <w:rPr>
                <w:rFonts w:hint="default" w:ascii="宋体" w:hAnsi="宋体"/>
                <w:kern w:val="0"/>
                <w:szCs w:val="21"/>
              </w:rPr>
              <w:t>。</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6.主要负责人和安全生产管理人员安全资格证书复印件。</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审查安全资格证书是否在有效期内。</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ascii="宋体" w:hAnsi="宋体" w:cs="Times New Roman"/>
                <w:szCs w:val="21"/>
                <w:lang w:val="en-US" w:eastAsia="zh-CN"/>
              </w:rPr>
              <w:t>主</w:t>
            </w:r>
            <w:r>
              <w:rPr>
                <w:rFonts w:hint="default" w:ascii="Times New Roman" w:hAnsi="Times New Roman" w:cs="Times New Roman"/>
                <w:szCs w:val="21"/>
                <w:lang w:val="en-US" w:eastAsia="zh-CN"/>
              </w:rPr>
              <w:t>要负责人与安全管理人员已取得安全合格证。</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7.特种作业人员操作资格证书复印件。</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审查特种作业人员操作资格证书是否在有效期内。</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ascii="宋体" w:hAnsi="宋体" w:cs="Times New Roman"/>
                <w:szCs w:val="21"/>
                <w:lang w:val="en-US" w:eastAsia="zh-CN"/>
              </w:rPr>
              <w:t>该公司钻井（定向施工）作业不涉及特种作业人员</w:t>
            </w:r>
            <w:r>
              <w:rPr>
                <w:rFonts w:hint="default" w:ascii="Times New Roman" w:hAnsi="Times New Roman" w:cs="Times New Roman"/>
                <w:b w:val="0"/>
                <w:bCs w:val="0"/>
                <w:color w:val="000000"/>
              </w:rPr>
              <w:t>。</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eastAsia="宋体" w:cs="Times New Roman"/>
                <w:b w:val="0"/>
                <w:bCs w:val="0"/>
                <w:color w:val="000000"/>
                <w:lang w:val="en-US" w:eastAsia="zh-CN"/>
              </w:rPr>
            </w:pPr>
            <w:r>
              <w:rPr>
                <w:rFonts w:hint="eastAsia" w:cs="Times New Roman"/>
                <w:b w:val="0"/>
                <w:bCs w:val="0"/>
                <w:color w:val="000000"/>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8.足额提取安全生产费用、缴纳并存储安全生产风险抵押金的证明材料。</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审查证明材料是否有效。</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lang w:val="en-US" w:eastAsia="zh-CN"/>
              </w:rPr>
              <w:t>每年</w:t>
            </w:r>
            <w:r>
              <w:rPr>
                <w:rFonts w:hint="eastAsia" w:cs="Times New Roman"/>
                <w:b w:val="0"/>
                <w:bCs w:val="0"/>
                <w:color w:val="000000"/>
                <w:lang w:val="en-US" w:eastAsia="zh-CN"/>
              </w:rPr>
              <w:t>建立年度安全费用提取计划，按照计划计提安全费用，建立有安全费用台账，提取比例不低于工程费用的2.5%</w:t>
            </w:r>
            <w:r>
              <w:rPr>
                <w:rFonts w:hint="default" w:ascii="Times New Roman" w:hAnsi="Times New Roman" w:cs="Times New Roman"/>
                <w:b w:val="0"/>
                <w:bCs w:val="0"/>
                <w:color w:val="000000"/>
                <w:lang w:eastAsia="zh-CN"/>
              </w:rPr>
              <w:t>。</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34" w:hRule="atLeas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9.为从业人员缴纳工伤保险费的证明材料；因特殊情况不能办理工伤保险的，可以出具办理安全生产责任保险或者雇主责任保险的证明材料。</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审查证明材料是否有效。</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ascii="Times New Roman" w:hAnsi="Times New Roman" w:cs="Times New Roman"/>
                <w:b w:val="0"/>
                <w:bCs w:val="0"/>
                <w:color w:val="000000"/>
              </w:rPr>
              <w:t>现有员工</w:t>
            </w:r>
            <w:r>
              <w:rPr>
                <w:rFonts w:hint="eastAsia" w:cs="Times New Roman"/>
                <w:b w:val="0"/>
                <w:bCs w:val="0"/>
                <w:color w:val="000000"/>
                <w:lang w:val="en-US" w:eastAsia="zh-CN"/>
              </w:rPr>
              <w:t>255人</w:t>
            </w:r>
            <w:r>
              <w:rPr>
                <w:rFonts w:hint="eastAsia" w:ascii="Times New Roman" w:hAnsi="Times New Roman" w:cs="Times New Roman"/>
                <w:b w:val="0"/>
                <w:bCs w:val="0"/>
                <w:color w:val="000000"/>
              </w:rPr>
              <w:t>，其中</w:t>
            </w:r>
            <w:r>
              <w:rPr>
                <w:rFonts w:hint="eastAsia" w:ascii="Times New Roman" w:hAnsi="Times New Roman" w:cs="Times New Roman"/>
                <w:b w:val="0"/>
                <w:bCs w:val="0"/>
                <w:color w:val="000000"/>
                <w:lang w:val="en-US" w:eastAsia="zh-CN"/>
              </w:rPr>
              <w:t>236</w:t>
            </w:r>
            <w:r>
              <w:rPr>
                <w:rFonts w:hint="eastAsia" w:ascii="Times New Roman" w:hAnsi="Times New Roman" w:cs="Times New Roman"/>
                <w:b w:val="0"/>
                <w:bCs w:val="0"/>
                <w:color w:val="000000"/>
              </w:rPr>
              <w:t>人</w:t>
            </w:r>
            <w:r>
              <w:rPr>
                <w:rFonts w:hint="eastAsia" w:ascii="Times New Roman" w:hAnsi="Times New Roman" w:cs="Times New Roman"/>
                <w:b w:val="0"/>
                <w:bCs w:val="0"/>
                <w:color w:val="000000"/>
                <w:lang w:eastAsia="zh-CN"/>
              </w:rPr>
              <w:t>（</w:t>
            </w:r>
            <w:r>
              <w:rPr>
                <w:rFonts w:hint="eastAsia" w:ascii="Times New Roman" w:hAnsi="Times New Roman" w:cs="Times New Roman"/>
                <w:b w:val="0"/>
                <w:bCs w:val="0"/>
                <w:color w:val="000000"/>
                <w:lang w:val="en-US" w:eastAsia="zh-CN"/>
              </w:rPr>
              <w:t>包括现场钻井（定向施工）作业人</w:t>
            </w:r>
            <w:r>
              <w:rPr>
                <w:rFonts w:hint="eastAsia" w:ascii="Times New Roman" w:hAnsi="Times New Roman" w:cs="Times New Roman"/>
                <w:b w:val="0"/>
                <w:bCs w:val="0"/>
                <w:color w:val="auto"/>
                <w:lang w:val="en-US" w:eastAsia="zh-CN"/>
              </w:rPr>
              <w:t>员共</w:t>
            </w:r>
            <w:r>
              <w:rPr>
                <w:rFonts w:hint="eastAsia" w:cs="Times New Roman"/>
                <w:b w:val="0"/>
                <w:bCs w:val="0"/>
                <w:color w:val="auto"/>
                <w:lang w:val="en-US" w:eastAsia="zh-CN"/>
              </w:rPr>
              <w:t>99</w:t>
            </w:r>
            <w:r>
              <w:rPr>
                <w:rFonts w:hint="eastAsia" w:ascii="Times New Roman" w:hAnsi="Times New Roman" w:cs="Times New Roman"/>
                <w:b w:val="0"/>
                <w:bCs w:val="0"/>
                <w:color w:val="auto"/>
                <w:lang w:val="en-US" w:eastAsia="zh-CN"/>
              </w:rPr>
              <w:t>人</w:t>
            </w:r>
            <w:r>
              <w:rPr>
                <w:rFonts w:hint="eastAsia" w:ascii="Times New Roman" w:hAnsi="Times New Roman" w:cs="Times New Roman"/>
                <w:b w:val="0"/>
                <w:bCs w:val="0"/>
                <w:color w:val="000000"/>
                <w:lang w:val="en-US" w:eastAsia="zh-CN"/>
              </w:rPr>
              <w:t>）</w:t>
            </w:r>
            <w:r>
              <w:rPr>
                <w:rFonts w:hint="eastAsia" w:ascii="Times New Roman" w:hAnsi="Times New Roman" w:cs="Times New Roman"/>
                <w:b w:val="0"/>
                <w:bCs w:val="0"/>
                <w:color w:val="000000"/>
              </w:rPr>
              <w:t>直接与</w:t>
            </w:r>
            <w:r>
              <w:rPr>
                <w:rFonts w:hint="eastAsia" w:ascii="Times New Roman" w:hAnsi="Times New Roman" w:cs="Times New Roman"/>
                <w:b w:val="0"/>
                <w:bCs w:val="0"/>
                <w:color w:val="000000"/>
                <w:lang w:eastAsia="zh-CN"/>
              </w:rPr>
              <w:t>斯伦贝谢油田技术（山东）有限公司</w:t>
            </w:r>
            <w:r>
              <w:rPr>
                <w:rFonts w:hint="eastAsia" w:ascii="Times New Roman" w:hAnsi="Times New Roman" w:cs="Times New Roman"/>
                <w:b w:val="0"/>
                <w:bCs w:val="0"/>
                <w:color w:val="000000"/>
              </w:rPr>
              <w:t>签订有劳动合同，并在</w:t>
            </w:r>
            <w:r>
              <w:rPr>
                <w:rFonts w:hint="eastAsia" w:ascii="Times New Roman" w:hAnsi="Times New Roman" w:cs="Times New Roman"/>
                <w:b w:val="0"/>
                <w:bCs w:val="0"/>
                <w:color w:val="000000"/>
                <w:lang w:eastAsia="zh-CN"/>
              </w:rPr>
              <w:t>斯伦贝谢油田技术（山东）有限公司</w:t>
            </w:r>
            <w:r>
              <w:rPr>
                <w:rFonts w:hint="eastAsia" w:ascii="Times New Roman" w:hAnsi="Times New Roman" w:cs="Times New Roman"/>
                <w:b w:val="0"/>
                <w:bCs w:val="0"/>
                <w:color w:val="000000"/>
              </w:rPr>
              <w:t>缴纳社会保险，</w:t>
            </w:r>
            <w:r>
              <w:rPr>
                <w:rFonts w:hint="eastAsia" w:ascii="Times New Roman" w:hAnsi="Times New Roman" w:cs="Times New Roman"/>
                <w:b w:val="0"/>
                <w:bCs w:val="0"/>
                <w:color w:val="000000"/>
                <w:lang w:val="en-US" w:eastAsia="zh-CN"/>
              </w:rPr>
              <w:t>行政部中有11人为劳务派遣工</w:t>
            </w:r>
            <w:r>
              <w:rPr>
                <w:rFonts w:hint="eastAsia"/>
                <w:b/>
                <w:bCs/>
                <w:sz w:val="24"/>
                <w:szCs w:val="28"/>
                <w:lang w:eastAsia="zh-CN"/>
              </w:rPr>
              <w:t>（</w:t>
            </w:r>
            <w:r>
              <w:rPr>
                <w:rFonts w:hint="eastAsia"/>
                <w:b/>
                <w:bCs/>
                <w:sz w:val="24"/>
                <w:szCs w:val="28"/>
                <w:lang w:val="en-US" w:eastAsia="zh-CN"/>
              </w:rPr>
              <w:t>涉及公司机密不予以公开</w:t>
            </w:r>
            <w:r>
              <w:rPr>
                <w:rFonts w:hint="eastAsia"/>
                <w:b/>
                <w:bCs/>
                <w:sz w:val="24"/>
                <w:szCs w:val="28"/>
                <w:lang w:eastAsia="zh-CN"/>
              </w:rPr>
              <w:t>）</w:t>
            </w:r>
            <w:r>
              <w:rPr>
                <w:rFonts w:hint="default" w:ascii="Times New Roman" w:hAnsi="Times New Roman" w:cs="Times New Roman"/>
                <w:b w:val="0"/>
                <w:bCs w:val="0"/>
                <w:color w:val="000000"/>
                <w:lang w:val="en-US" w:eastAsia="zh-CN"/>
              </w:rPr>
              <w:t>。</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10.危险性较大的设备、设施由具备相应资质的检测检验机构出具合格的检测检验报告。</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审查检测检验报告是否由有资质的单位出具，是否在有效期内。</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lang w:val="en-US" w:eastAsia="zh-CN"/>
              </w:rPr>
              <w:t>无磁钻铤、测斜仪器等危险性较大的设备、设施已</w:t>
            </w:r>
            <w:r>
              <w:rPr>
                <w:rFonts w:hint="eastAsia"/>
              </w:rPr>
              <w:t>按照国家有关规定进行定期检测检验</w:t>
            </w:r>
            <w:r>
              <w:rPr>
                <w:rFonts w:hint="eastAsia"/>
                <w:lang w:eastAsia="zh-CN"/>
              </w:rPr>
              <w:t>。</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11.事故应急救援预案，设立事故应急救援组织的文件或者与矿山救护队、其他应急救援组织签订的救护协议。</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审查是否编制应急救援预案，相关文件或者协议是否有效。</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eastAsia" w:cs="Times New Roman"/>
                <w:b w:val="0"/>
                <w:bCs w:val="0"/>
                <w:color w:val="000000"/>
                <w:lang w:val="en-US" w:eastAsia="zh-CN"/>
              </w:rPr>
              <w:t>该公司已</w:t>
            </w:r>
            <w:r>
              <w:rPr>
                <w:rFonts w:hint="default" w:ascii="Times New Roman" w:hAnsi="Times New Roman" w:cs="Times New Roman"/>
                <w:b w:val="0"/>
                <w:bCs w:val="0"/>
                <w:color w:val="000000"/>
              </w:rPr>
              <w:t>编制有事</w:t>
            </w:r>
            <w:r>
              <w:rPr>
                <w:rFonts w:hint="default" w:cs="Times New Roman"/>
                <w:b w:val="0"/>
                <w:bCs w:val="0"/>
                <w:color w:val="000000"/>
                <w:lang w:val="en-US" w:eastAsia="zh-CN"/>
              </w:rPr>
              <w:t>故应急救援预案</w:t>
            </w:r>
            <w:r>
              <w:rPr>
                <w:rFonts w:hint="eastAsia" w:cs="Times New Roman"/>
                <w:b w:val="0"/>
                <w:bCs w:val="0"/>
                <w:color w:val="000000"/>
                <w:lang w:val="en-US" w:eastAsia="zh-CN"/>
              </w:rPr>
              <w:t>，已于2022年1月18日在东营经济技术开发区应急管理部备案（备案编号：370504-2022-0008），公司与甲方所签订的HSE合同中含有应急救援部分内容</w:t>
            </w:r>
            <w:r>
              <w:rPr>
                <w:rFonts w:hint="default" w:cs="Times New Roman"/>
                <w:b w:val="0"/>
                <w:bCs w:val="0"/>
                <w:color w:val="000000"/>
                <w:lang w:val="en-US" w:eastAsia="zh-CN"/>
              </w:rPr>
              <w:t>。</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12.</w:t>
            </w:r>
            <w:r>
              <w:rPr>
                <w:rFonts w:hint="eastAsia" w:ascii="Times New Roman" w:hAnsi="Times New Roman" w:eastAsia="宋体" w:cs="Times New Roman"/>
                <w:smallCaps w:val="0"/>
                <w:szCs w:val="24"/>
              </w:rPr>
              <w:t>矿山建设项目安全设施经安全生产监督管理部门验收合格的证明材料</w:t>
            </w:r>
            <w:r>
              <w:rPr>
                <w:rFonts w:hint="default" w:ascii="Times New Roman" w:hAnsi="Times New Roman" w:cs="Times New Roman"/>
                <w:b w:val="0"/>
                <w:bCs w:val="0"/>
                <w:color w:val="000000"/>
              </w:rPr>
              <w:t>。</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eastAsia" w:ascii="Times New Roman" w:hAnsi="Times New Roman" w:eastAsia="宋体" w:cs="Times New Roman"/>
                <w:smallCaps w:val="0"/>
                <w:szCs w:val="24"/>
              </w:rPr>
              <w:t>审查验收批复文件是否由具备相应审批权限的安全监管部门出具</w:t>
            </w:r>
            <w:r>
              <w:rPr>
                <w:rFonts w:hint="default" w:ascii="Times New Roman" w:hAnsi="Times New Roman" w:cs="Times New Roman"/>
                <w:b w:val="0"/>
                <w:bCs w:val="0"/>
                <w:color w:val="000000"/>
              </w:rPr>
              <w:t>。</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default" w:ascii="Times New Roman" w:hAnsi="Times New Roman" w:cs="Times New Roman"/>
                <w:b w:val="0"/>
                <w:bCs w:val="0"/>
                <w:color w:val="000000"/>
              </w:rPr>
              <w:t>不涉及此项。</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433" w:type="pct"/>
            <w:noWrap w:val="0"/>
            <w:tcMar>
              <w:top w:w="57" w:type="dxa"/>
              <w:left w:w="28" w:type="dxa"/>
              <w:bottom w:w="57"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13.爆破作业单位许可证复印件。</w:t>
            </w:r>
          </w:p>
        </w:tc>
        <w:tc>
          <w:tcPr>
            <w:tcW w:w="1264" w:type="pct"/>
            <w:noWrap w:val="0"/>
            <w:tcMar>
              <w:top w:w="0" w:type="dxa"/>
              <w:left w:w="28" w:type="dxa"/>
              <w:bottom w:w="0" w:type="dxa"/>
              <w:right w:w="28" w:type="dxa"/>
            </w:tcMar>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cs="Times New Roman"/>
                <w:b w:val="0"/>
                <w:bCs w:val="0"/>
                <w:color w:val="000000"/>
              </w:rPr>
            </w:pPr>
            <w:r>
              <w:rPr>
                <w:rFonts w:hint="default" w:ascii="Times New Roman" w:hAnsi="Times New Roman" w:cs="Times New Roman"/>
                <w:b w:val="0"/>
                <w:bCs w:val="0"/>
                <w:color w:val="000000"/>
              </w:rPr>
              <w:t>审查证件是否有效。</w:t>
            </w:r>
          </w:p>
        </w:tc>
        <w:tc>
          <w:tcPr>
            <w:tcW w:w="1775" w:type="pct"/>
            <w:noWrap w:val="0"/>
            <w:vAlign w:val="center"/>
          </w:tcPr>
          <w:p>
            <w:pPr>
              <w:keepNext w:val="0"/>
              <w:keepLines w:val="0"/>
              <w:suppressLineNumbers w:val="0"/>
              <w:adjustRightInd w:val="0"/>
              <w:snapToGrid w:val="0"/>
              <w:spacing w:before="62" w:beforeLines="20" w:beforeAutospacing="0" w:after="62" w:afterLines="20" w:afterAutospacing="0"/>
              <w:ind w:left="0" w:right="0"/>
              <w:rPr>
                <w:rFonts w:hint="default" w:ascii="Times New Roman" w:hAnsi="Times New Roman" w:eastAsia="宋体" w:cs="Times New Roman"/>
                <w:b w:val="0"/>
                <w:bCs w:val="0"/>
                <w:color w:val="000000"/>
                <w:kern w:val="2"/>
                <w:sz w:val="21"/>
                <w:szCs w:val="24"/>
                <w:lang w:val="en-US" w:eastAsia="zh-CN" w:bidi="ar-SA"/>
              </w:rPr>
            </w:pPr>
            <w:r>
              <w:rPr>
                <w:rFonts w:hint="default" w:ascii="Times New Roman" w:hAnsi="Times New Roman" w:cs="Times New Roman"/>
                <w:b w:val="0"/>
                <w:bCs w:val="0"/>
                <w:color w:val="000000"/>
              </w:rPr>
              <w:t>不涉及此项。</w:t>
            </w:r>
          </w:p>
        </w:tc>
        <w:tc>
          <w:tcPr>
            <w:tcW w:w="526" w:type="pct"/>
            <w:noWrap w:val="0"/>
            <w:vAlign w:val="center"/>
          </w:tcPr>
          <w:p>
            <w:pPr>
              <w:keepNext w:val="0"/>
              <w:keepLines w:val="0"/>
              <w:suppressLineNumbers w:val="0"/>
              <w:adjustRightInd w:val="0"/>
              <w:snapToGrid w:val="0"/>
              <w:spacing w:before="62" w:beforeLines="20" w:beforeAutospacing="0" w:after="62" w:afterLines="20" w:afterAutospacing="0"/>
              <w:ind w:left="0" w:right="0"/>
              <w:jc w:val="center"/>
              <w:rPr>
                <w:rFonts w:hint="default" w:ascii="Times New Roman" w:hAnsi="Times New Roman" w:cs="Times New Roman"/>
                <w:b w:val="0"/>
                <w:bCs w:val="0"/>
                <w:color w:val="000000"/>
              </w:rPr>
            </w:pPr>
            <w:r>
              <w:rPr>
                <w:rFonts w:hint="eastAsia" w:cs="Times New Roman"/>
                <w:b w:val="0"/>
                <w:bCs w:val="0"/>
                <w:color w:val="000000"/>
                <w:lang w:val="en-US" w:eastAsia="zh-CN"/>
              </w:rPr>
              <w:t>--</w:t>
            </w:r>
          </w:p>
        </w:tc>
      </w:tr>
    </w:tbl>
    <w:p>
      <w:pPr>
        <w:adjustRightInd w:val="0"/>
        <w:snapToGrid w:val="0"/>
        <w:ind w:firstLine="420" w:firstLineChars="200"/>
        <w:rPr>
          <w:rFonts w:hint="default" w:ascii="Times New Roman" w:hAnsi="Times New Roman" w:cs="Times New Roman"/>
          <w:color w:val="000000"/>
          <w:szCs w:val="21"/>
        </w:rPr>
      </w:pPr>
      <w:r>
        <w:rPr>
          <w:rFonts w:hint="default" w:ascii="Times New Roman" w:hAnsi="Times New Roman" w:cs="Times New Roman"/>
          <w:color w:val="000000"/>
          <w:szCs w:val="21"/>
        </w:rPr>
        <w:t>注</w:t>
      </w:r>
      <w:r>
        <w:rPr>
          <w:rFonts w:hint="eastAsia" w:cs="Times New Roman"/>
          <w:color w:val="000000"/>
          <w:szCs w:val="21"/>
          <w:lang w:eastAsia="zh-CN"/>
        </w:rPr>
        <w:t>：</w:t>
      </w:r>
      <w:r>
        <w:rPr>
          <w:rFonts w:hint="default" w:ascii="Times New Roman" w:hAnsi="Times New Roman" w:cs="Times New Roman"/>
          <w:color w:val="000000"/>
          <w:szCs w:val="21"/>
        </w:rPr>
        <w:t>非煤矿矿山企业总部申请安全生产许可证，需审查第1、3、4、5、6项；金属非金属矿山企业申请安全生产许可证，需审查第1-12项，如果该单位从事爆破作业，还需审查第13项；尾矿库申请安全生产许可证，需审查第1、3、4、5、6、7、8、9、10、11、12项；地质勘探单位和采掘施工企业申请安全生产许可证，需审查第1、2、3、4、5、6、7、9、10、11项，如果该单位从事爆破作业，还需审查第13项；石油天然气勘探、开发生产和储运（陆上采油气、海上采油气、物探、钻井、测井、录井、井下作业、油田建设、海油工程、储运）单位申请安全生产许可证，需审查第1、3、4、5、6、7、8、9、10、11项（其中陆上采油气、海上采油气单位需增加审查第2、12项，储运单位需增加审查第12项）。</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s="Times New Roman"/>
          <w:color w:val="000000"/>
          <w:sz w:val="28"/>
          <w:szCs w:val="28"/>
          <w:lang w:val="en-US" w:eastAsia="zh-CN"/>
        </w:rPr>
      </w:pPr>
      <w:r>
        <w:rPr>
          <w:rFonts w:hint="eastAsia" w:cs="Times New Roman"/>
          <w:color w:val="000000"/>
          <w:sz w:val="28"/>
          <w:szCs w:val="28"/>
          <w:lang w:val="en-US" w:eastAsia="zh-CN"/>
        </w:rPr>
        <w:t>评价小结：</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000000"/>
          <w:sz w:val="28"/>
          <w:szCs w:val="28"/>
          <w:lang w:eastAsia="zh-CN"/>
        </w:rPr>
        <w:sectPr>
          <w:pgSz w:w="16838" w:h="11906" w:orient="landscape"/>
          <w:pgMar w:top="1800" w:right="1440" w:bottom="1800" w:left="1440" w:header="1247" w:footer="992" w:gutter="0"/>
          <w:pgBorders>
            <w:top w:val="none" w:sz="0" w:space="0"/>
            <w:left w:val="none" w:sz="0" w:space="0"/>
            <w:bottom w:val="none" w:sz="0" w:space="0"/>
            <w:right w:val="none" w:sz="0" w:space="0"/>
          </w:pgBorders>
          <w:pgNumType w:fmt="decimal"/>
          <w:cols w:space="425" w:num="1"/>
          <w:docGrid w:type="linesAndChars" w:linePitch="312" w:charSpace="0"/>
        </w:sectPr>
      </w:pPr>
      <w:r>
        <w:rPr>
          <w:rFonts w:hint="default" w:ascii="Times New Roman" w:hAnsi="Times New Roman" w:cs="Times New Roman"/>
          <w:color w:val="000000"/>
          <w:sz w:val="28"/>
          <w:szCs w:val="28"/>
          <w:lang w:val="en-US" w:eastAsia="zh-CN"/>
        </w:rPr>
        <w:t>经过现场检查和评价，该企业涉及的钻井（定向施工）</w:t>
      </w:r>
      <w:r>
        <w:rPr>
          <w:rFonts w:hint="eastAsia" w:cs="Times New Roman"/>
          <w:color w:val="000000"/>
          <w:sz w:val="28"/>
          <w:szCs w:val="28"/>
          <w:lang w:val="en-US" w:eastAsia="zh-CN"/>
        </w:rPr>
        <w:t>项目</w:t>
      </w:r>
      <w:r>
        <w:rPr>
          <w:rFonts w:hint="default" w:ascii="Times New Roman" w:hAnsi="Times New Roman" w:cs="Times New Roman"/>
          <w:color w:val="000000"/>
          <w:sz w:val="28"/>
          <w:szCs w:val="28"/>
          <w:lang w:val="en-US" w:eastAsia="zh-CN"/>
        </w:rPr>
        <w:t>有</w:t>
      </w:r>
      <w:r>
        <w:rPr>
          <w:rFonts w:hint="eastAsia" w:cs="Times New Roman"/>
          <w:color w:val="000000"/>
          <w:sz w:val="28"/>
          <w:szCs w:val="28"/>
          <w:lang w:val="en-US" w:eastAsia="zh-CN"/>
        </w:rPr>
        <w:t>9</w:t>
      </w:r>
      <w:r>
        <w:rPr>
          <w:rFonts w:hint="default" w:ascii="Times New Roman" w:hAnsi="Times New Roman" w:cs="Times New Roman"/>
          <w:color w:val="000000"/>
          <w:sz w:val="28"/>
          <w:szCs w:val="28"/>
          <w:lang w:val="en-US" w:eastAsia="zh-CN"/>
        </w:rPr>
        <w:t>项</w:t>
      </w:r>
      <w:r>
        <w:rPr>
          <w:rFonts w:hint="eastAsia" w:cs="Times New Roman"/>
          <w:color w:val="000000"/>
          <w:sz w:val="28"/>
          <w:szCs w:val="28"/>
          <w:lang w:val="en-US" w:eastAsia="zh-CN"/>
        </w:rPr>
        <w:t>审查</w:t>
      </w:r>
      <w:r>
        <w:rPr>
          <w:rFonts w:hint="default" w:ascii="Times New Roman" w:hAnsi="Times New Roman" w:cs="Times New Roman"/>
          <w:color w:val="000000"/>
          <w:sz w:val="28"/>
          <w:szCs w:val="28"/>
          <w:lang w:val="en-US" w:eastAsia="zh-CN"/>
        </w:rPr>
        <w:t>项为符合，</w:t>
      </w:r>
      <w:r>
        <w:rPr>
          <w:rFonts w:hint="eastAsia" w:cs="Times New Roman"/>
          <w:color w:val="000000"/>
          <w:sz w:val="28"/>
          <w:szCs w:val="28"/>
          <w:lang w:val="en-US" w:eastAsia="zh-CN"/>
        </w:rPr>
        <w:t>4</w:t>
      </w:r>
      <w:r>
        <w:rPr>
          <w:rFonts w:hint="default" w:ascii="Times New Roman" w:hAnsi="Times New Roman" w:cs="Times New Roman"/>
          <w:color w:val="000000"/>
          <w:sz w:val="28"/>
          <w:szCs w:val="28"/>
          <w:lang w:val="en-US" w:eastAsia="zh-CN"/>
        </w:rPr>
        <w:t>项</w:t>
      </w:r>
      <w:r>
        <w:rPr>
          <w:rFonts w:hint="eastAsia" w:cs="Times New Roman"/>
          <w:color w:val="000000"/>
          <w:sz w:val="28"/>
          <w:szCs w:val="28"/>
          <w:lang w:val="en-US" w:eastAsia="zh-CN"/>
        </w:rPr>
        <w:t>审查</w:t>
      </w:r>
      <w:r>
        <w:rPr>
          <w:rFonts w:hint="default" w:ascii="Times New Roman" w:hAnsi="Times New Roman" w:cs="Times New Roman"/>
          <w:color w:val="000000"/>
          <w:sz w:val="28"/>
          <w:szCs w:val="28"/>
          <w:lang w:val="en-US" w:eastAsia="zh-CN"/>
        </w:rPr>
        <w:t>项为不涉及，</w:t>
      </w:r>
      <w:r>
        <w:rPr>
          <w:rFonts w:hint="default" w:ascii="Times New Roman" w:hAnsi="Times New Roman" w:cs="Times New Roman"/>
          <w:color w:val="000000"/>
          <w:sz w:val="28"/>
          <w:szCs w:val="28"/>
          <w:highlight w:val="none"/>
          <w:lang w:val="en-US" w:eastAsia="zh-CN"/>
        </w:rPr>
        <w:t>因此</w:t>
      </w:r>
      <w:r>
        <w:rPr>
          <w:rFonts w:hint="default" w:ascii="Times New Roman" w:hAnsi="Times New Roman" w:cs="Times New Roman"/>
          <w:b w:val="0"/>
          <w:bCs/>
          <w:smallCaps w:val="0"/>
          <w:sz w:val="28"/>
          <w:highlight w:val="none"/>
          <w:lang w:eastAsia="zh-CN"/>
        </w:rPr>
        <w:t>斯伦贝谢油田技术（山东）有限公司</w:t>
      </w:r>
      <w:r>
        <w:rPr>
          <w:rFonts w:hint="default" w:ascii="Times New Roman" w:hAnsi="Times New Roman" w:cs="Times New Roman"/>
          <w:b w:val="0"/>
          <w:bCs/>
          <w:smallCaps w:val="0"/>
          <w:sz w:val="28"/>
          <w:highlight w:val="none"/>
          <w:lang w:val="en-US" w:eastAsia="zh-CN"/>
        </w:rPr>
        <w:t>具备</w:t>
      </w:r>
      <w:r>
        <w:rPr>
          <w:rFonts w:hint="default" w:ascii="Times New Roman" w:hAnsi="Times New Roman" w:cs="Times New Roman"/>
          <w:b w:val="0"/>
          <w:bCs/>
          <w:smallCaps w:val="0"/>
          <w:sz w:val="28"/>
          <w:highlight w:val="none"/>
          <w:lang w:eastAsia="zh-CN"/>
        </w:rPr>
        <w:t>钻井（</w:t>
      </w:r>
      <w:r>
        <w:rPr>
          <w:rFonts w:hint="default" w:ascii="Times New Roman" w:hAnsi="Times New Roman" w:cs="Times New Roman"/>
          <w:b w:val="0"/>
          <w:bCs/>
          <w:smallCaps w:val="0"/>
          <w:sz w:val="28"/>
          <w:highlight w:val="none"/>
          <w:lang w:val="en-US" w:eastAsia="zh-CN"/>
        </w:rPr>
        <w:t>定向施工）</w:t>
      </w:r>
      <w:r>
        <w:rPr>
          <w:rFonts w:hint="eastAsia" w:cs="Times New Roman"/>
          <w:b w:val="0"/>
          <w:bCs/>
          <w:smallCaps w:val="0"/>
          <w:sz w:val="28"/>
          <w:highlight w:val="none"/>
          <w:lang w:val="en-US" w:eastAsia="zh-CN"/>
        </w:rPr>
        <w:t>项目</w:t>
      </w:r>
      <w:r>
        <w:rPr>
          <w:rFonts w:hint="default" w:ascii="Times New Roman" w:hAnsi="Times New Roman" w:cs="Times New Roman"/>
          <w:b w:val="0"/>
          <w:bCs/>
          <w:smallCaps w:val="0"/>
          <w:sz w:val="28"/>
          <w:highlight w:val="none"/>
          <w:lang w:val="en-US" w:eastAsia="zh-CN"/>
        </w:rPr>
        <w:t>的</w:t>
      </w:r>
      <w:r>
        <w:rPr>
          <w:rFonts w:hint="eastAsia" w:cs="Times New Roman"/>
          <w:b w:val="0"/>
          <w:bCs/>
          <w:smallCaps w:val="0"/>
          <w:sz w:val="28"/>
          <w:highlight w:val="none"/>
          <w:lang w:val="en-US" w:eastAsia="zh-CN"/>
        </w:rPr>
        <w:t>审查</w:t>
      </w:r>
      <w:r>
        <w:rPr>
          <w:rFonts w:hint="default" w:ascii="Times New Roman" w:hAnsi="Times New Roman" w:cs="Times New Roman"/>
          <w:b w:val="0"/>
          <w:bCs/>
          <w:smallCaps w:val="0"/>
          <w:sz w:val="28"/>
          <w:highlight w:val="none"/>
          <w:lang w:val="en-US" w:eastAsia="zh-CN"/>
        </w:rPr>
        <w:t>条件</w:t>
      </w:r>
      <w:r>
        <w:rPr>
          <w:rFonts w:hint="default" w:ascii="Times New Roman" w:hAnsi="Times New Roman" w:cs="Times New Roman"/>
          <w:color w:val="000000"/>
          <w:sz w:val="28"/>
          <w:szCs w:val="28"/>
          <w:lang w:eastAsia="zh-CN"/>
        </w:rPr>
        <w:t>。</w:t>
      </w:r>
    </w:p>
    <w:p>
      <w:pPr>
        <w:pStyle w:val="3"/>
        <w:adjustRightInd w:val="0"/>
        <w:snapToGrid w:val="0"/>
        <w:spacing w:line="360" w:lineRule="auto"/>
        <w:rPr>
          <w:rFonts w:eastAsia="楷体_GB2312"/>
          <w:b/>
          <w:sz w:val="36"/>
          <w:szCs w:val="36"/>
        </w:rPr>
      </w:pPr>
      <w:bookmarkStart w:id="140" w:name="_Toc5283"/>
      <w:r>
        <w:rPr>
          <w:rFonts w:hint="eastAsia" w:eastAsia="楷体_GB2312"/>
          <w:b/>
          <w:sz w:val="36"/>
          <w:szCs w:val="36"/>
          <w:lang w:val="en-US" w:eastAsia="zh-CN"/>
        </w:rPr>
        <w:t>9</w:t>
      </w:r>
      <w:r>
        <w:rPr>
          <w:rFonts w:eastAsia="楷体_GB2312"/>
          <w:b/>
          <w:sz w:val="36"/>
          <w:szCs w:val="36"/>
        </w:rPr>
        <w:t xml:space="preserve"> </w:t>
      </w:r>
      <w:r>
        <w:rPr>
          <w:rFonts w:hint="eastAsia" w:eastAsia="楷体_GB2312"/>
          <w:b/>
          <w:sz w:val="36"/>
          <w:szCs w:val="36"/>
          <w:lang w:val="en-US" w:eastAsia="zh-CN"/>
        </w:rPr>
        <w:t xml:space="preserve"> </w:t>
      </w:r>
      <w:r>
        <w:rPr>
          <w:rFonts w:hint="eastAsia" w:eastAsia="楷体_GB2312"/>
          <w:b/>
          <w:sz w:val="36"/>
          <w:szCs w:val="36"/>
        </w:rPr>
        <w:t>安全现状评价结论</w:t>
      </w:r>
      <w:bookmarkEnd w:id="135"/>
      <w:bookmarkEnd w:id="140"/>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cs="Times New Roman"/>
          <w:smallCaps w:val="0"/>
          <w:color w:val="auto"/>
          <w:sz w:val="28"/>
          <w:szCs w:val="28"/>
          <w:lang w:eastAsia="zh-CN"/>
        </w:rPr>
      </w:pPr>
      <w:r>
        <w:rPr>
          <w:rFonts w:hint="eastAsia" w:cs="Times New Roman"/>
          <w:smallCaps w:val="0"/>
          <w:color w:val="auto"/>
          <w:sz w:val="28"/>
          <w:szCs w:val="28"/>
          <w:lang w:eastAsia="zh-CN"/>
        </w:rPr>
        <w:t>本</w:t>
      </w:r>
      <w:r>
        <w:rPr>
          <w:rFonts w:hint="eastAsia" w:cs="Times New Roman"/>
          <w:smallCaps w:val="0"/>
          <w:color w:val="auto"/>
          <w:sz w:val="28"/>
          <w:szCs w:val="28"/>
          <w:lang w:val="en-US" w:eastAsia="zh-CN"/>
        </w:rPr>
        <w:t>次</w:t>
      </w:r>
      <w:r>
        <w:rPr>
          <w:rFonts w:hint="eastAsia" w:cs="Times New Roman"/>
          <w:smallCaps w:val="0"/>
          <w:color w:val="auto"/>
          <w:sz w:val="28"/>
          <w:szCs w:val="28"/>
          <w:lang w:eastAsia="zh-CN"/>
        </w:rPr>
        <w:t>评价在认真调研了</w:t>
      </w:r>
      <w:r>
        <w:rPr>
          <w:rFonts w:hint="eastAsia" w:cs="Times New Roman"/>
          <w:smallCaps w:val="0"/>
          <w:color w:val="auto"/>
          <w:sz w:val="28"/>
          <w:szCs w:val="28"/>
          <w:lang w:val="en-US" w:eastAsia="zh-CN"/>
        </w:rPr>
        <w:t>斯伦贝谢油田技术（山东）有限公司</w:t>
      </w:r>
      <w:r>
        <w:rPr>
          <w:rFonts w:hint="eastAsia" w:cs="Times New Roman"/>
          <w:smallCaps w:val="0"/>
          <w:color w:val="auto"/>
          <w:sz w:val="28"/>
          <w:szCs w:val="28"/>
          <w:lang w:eastAsia="zh-CN"/>
        </w:rPr>
        <w:t>钻井（</w:t>
      </w:r>
      <w:r>
        <w:rPr>
          <w:rFonts w:hint="eastAsia" w:cs="Times New Roman"/>
          <w:smallCaps w:val="0"/>
          <w:color w:val="auto"/>
          <w:sz w:val="28"/>
          <w:szCs w:val="28"/>
          <w:lang w:val="en-US" w:eastAsia="zh-CN"/>
        </w:rPr>
        <w:t>定向施工）项目</w:t>
      </w:r>
      <w:r>
        <w:rPr>
          <w:rFonts w:hint="eastAsia" w:cs="Times New Roman"/>
          <w:smallCaps w:val="0"/>
          <w:color w:val="auto"/>
          <w:sz w:val="28"/>
          <w:szCs w:val="28"/>
          <w:lang w:eastAsia="zh-CN"/>
        </w:rPr>
        <w:t>生产设施及相关资料的基础上，依据《安全评价通则》 （AQ8001-2007）、《</w:t>
      </w:r>
      <w:r>
        <w:rPr>
          <w:rFonts w:hint="eastAsia" w:cs="Times New Roman"/>
          <w:smallCaps w:val="0"/>
          <w:color w:val="auto"/>
          <w:sz w:val="28"/>
          <w:szCs w:val="28"/>
          <w:lang w:val="en-US" w:eastAsia="zh-CN"/>
        </w:rPr>
        <w:t>石油天然气工程项目安全现状评价报告编写规则（SY/T6778-2010）等</w:t>
      </w:r>
      <w:r>
        <w:rPr>
          <w:rFonts w:hint="eastAsia" w:cs="Times New Roman"/>
          <w:smallCaps w:val="0"/>
          <w:color w:val="auto"/>
          <w:sz w:val="28"/>
          <w:szCs w:val="28"/>
          <w:lang w:eastAsia="zh-CN"/>
        </w:rPr>
        <w:t>相关的法律、法规及标准、规范，对其主要生产设施进行了危险、有害因素的辨识，采用了安全检查表、</w:t>
      </w:r>
      <w:r>
        <w:rPr>
          <w:rFonts w:hint="eastAsia" w:cs="Times New Roman"/>
          <w:smallCaps w:val="0"/>
          <w:color w:val="auto"/>
          <w:sz w:val="28"/>
          <w:szCs w:val="28"/>
          <w:lang w:val="en-US" w:eastAsia="zh-CN"/>
        </w:rPr>
        <w:t>预先危险性分析等</w:t>
      </w:r>
      <w:r>
        <w:rPr>
          <w:rFonts w:hint="eastAsia" w:cs="Times New Roman"/>
          <w:smallCaps w:val="0"/>
          <w:color w:val="auto"/>
          <w:sz w:val="28"/>
          <w:szCs w:val="28"/>
          <w:lang w:eastAsia="zh-CN"/>
        </w:rPr>
        <w:t>评价方法对作业现场设备设施</w:t>
      </w:r>
      <w:r>
        <w:rPr>
          <w:rFonts w:hint="eastAsia" w:cs="Times New Roman"/>
          <w:smallCaps w:val="0"/>
          <w:color w:val="auto"/>
          <w:sz w:val="28"/>
          <w:szCs w:val="28"/>
          <w:lang w:val="en-US" w:eastAsia="zh-CN"/>
        </w:rPr>
        <w:t>与</w:t>
      </w:r>
      <w:r>
        <w:rPr>
          <w:rFonts w:hint="eastAsia" w:cs="Times New Roman"/>
          <w:smallCaps w:val="0"/>
          <w:color w:val="auto"/>
          <w:sz w:val="28"/>
          <w:szCs w:val="28"/>
          <w:lang w:eastAsia="zh-CN"/>
        </w:rPr>
        <w:t>管理情况进行了 较全面的定性、</w:t>
      </w:r>
      <w:r>
        <w:rPr>
          <w:rFonts w:hint="eastAsia" w:cs="Times New Roman"/>
          <w:smallCaps w:val="0"/>
          <w:color w:val="auto"/>
          <w:sz w:val="28"/>
          <w:szCs w:val="28"/>
          <w:lang w:val="en-US" w:eastAsia="zh-CN"/>
        </w:rPr>
        <w:t>定量</w:t>
      </w:r>
      <w:r>
        <w:rPr>
          <w:rFonts w:hint="eastAsia" w:cs="Times New Roman"/>
          <w:smallCaps w:val="0"/>
          <w:color w:val="auto"/>
          <w:sz w:val="28"/>
          <w:szCs w:val="28"/>
          <w:lang w:eastAsia="zh-CN"/>
        </w:rPr>
        <w:t>评价，并提出了相应的安全对策措施建议。</w:t>
      </w:r>
    </w:p>
    <w:p>
      <w:pPr>
        <w:pStyle w:val="4"/>
        <w:adjustRightInd w:val="0"/>
        <w:snapToGrid w:val="0"/>
        <w:spacing w:before="0" w:after="0" w:line="360" w:lineRule="auto"/>
        <w:rPr>
          <w:rFonts w:hint="default" w:ascii="Times New Roman" w:hAnsi="Times New Roman" w:eastAsia="黑体"/>
          <w:color w:val="auto"/>
          <w:sz w:val="28"/>
          <w:szCs w:val="28"/>
          <w:lang w:val="en-US" w:eastAsia="zh-CN"/>
        </w:rPr>
      </w:pPr>
      <w:bookmarkStart w:id="141" w:name="_Toc17381"/>
      <w:r>
        <w:rPr>
          <w:rFonts w:hint="eastAsia" w:ascii="Times New Roman" w:hAnsi="Times New Roman"/>
          <w:b w:val="0"/>
          <w:bCs/>
          <w:color w:val="auto"/>
          <w:szCs w:val="32"/>
          <w:lang w:val="en-US" w:eastAsia="zh-CN"/>
        </w:rPr>
        <w:t>9</w:t>
      </w:r>
      <w:r>
        <w:rPr>
          <w:rFonts w:hint="eastAsia" w:ascii="Times New Roman" w:hAnsi="Times New Roman"/>
          <w:b w:val="0"/>
          <w:bCs/>
          <w:color w:val="auto"/>
          <w:szCs w:val="32"/>
        </w:rPr>
        <w:t xml:space="preserve">.1 </w:t>
      </w:r>
      <w:r>
        <w:rPr>
          <w:rFonts w:ascii="Times New Roman" w:hAnsi="Times New Roman"/>
          <w:b w:val="0"/>
          <w:bCs/>
          <w:color w:val="auto"/>
          <w:szCs w:val="32"/>
        </w:rPr>
        <w:t xml:space="preserve"> </w:t>
      </w:r>
      <w:r>
        <w:rPr>
          <w:rFonts w:hint="eastAsia" w:ascii="Times New Roman" w:hAnsi="Times New Roman"/>
          <w:b w:val="0"/>
          <w:bCs/>
          <w:color w:val="auto"/>
          <w:szCs w:val="32"/>
          <w:lang w:val="en-US" w:eastAsia="zh-CN"/>
        </w:rPr>
        <w:t>主要危险、有害因素辨识分析结果</w:t>
      </w:r>
      <w:bookmarkEnd w:id="141"/>
    </w:p>
    <w:p>
      <w:pPr>
        <w:adjustRightInd w:val="0"/>
        <w:snapToGrid w:val="0"/>
        <w:spacing w:line="360" w:lineRule="auto"/>
        <w:ind w:firstLine="560" w:firstLineChars="200"/>
        <w:rPr>
          <w:color w:val="auto"/>
          <w:sz w:val="28"/>
          <w:szCs w:val="28"/>
        </w:rPr>
      </w:pPr>
      <w:r>
        <w:rPr>
          <w:rFonts w:hint="eastAsia"/>
          <w:color w:val="auto"/>
          <w:sz w:val="28"/>
          <w:szCs w:val="28"/>
        </w:rPr>
        <w:t>斯伦贝谢油田技术（山东）有限公司钻井（</w:t>
      </w:r>
      <w:r>
        <w:rPr>
          <w:rFonts w:hint="eastAsia"/>
          <w:color w:val="auto"/>
          <w:sz w:val="28"/>
          <w:szCs w:val="28"/>
          <w:lang w:eastAsia="zh-CN"/>
        </w:rPr>
        <w:t>定向施工</w:t>
      </w:r>
      <w:r>
        <w:rPr>
          <w:rFonts w:hint="eastAsia"/>
          <w:color w:val="auto"/>
          <w:sz w:val="28"/>
          <w:szCs w:val="28"/>
        </w:rPr>
        <w:t>）作业过程中，涉及的主要危险、有害物质有</w:t>
      </w:r>
      <w:r>
        <w:rPr>
          <w:rFonts w:hint="eastAsia"/>
          <w:color w:val="auto"/>
          <w:sz w:val="28"/>
          <w:szCs w:val="28"/>
          <w:lang w:eastAsia="zh-CN"/>
        </w:rPr>
        <w:t>：</w:t>
      </w:r>
      <w:r>
        <w:rPr>
          <w:rFonts w:hint="eastAsia"/>
          <w:color w:val="auto"/>
          <w:sz w:val="28"/>
          <w:szCs w:val="28"/>
        </w:rPr>
        <w:t>原油、天然气、硫化氢、二氧化硫等。</w:t>
      </w:r>
    </w:p>
    <w:p>
      <w:pPr>
        <w:adjustRightInd w:val="0"/>
        <w:snapToGrid w:val="0"/>
        <w:spacing w:line="360" w:lineRule="auto"/>
        <w:ind w:firstLine="560" w:firstLineChars="200"/>
        <w:rPr>
          <w:color w:val="auto"/>
          <w:sz w:val="28"/>
          <w:szCs w:val="28"/>
        </w:rPr>
      </w:pPr>
      <w:r>
        <w:rPr>
          <w:rFonts w:hint="eastAsia"/>
          <w:color w:val="auto"/>
          <w:sz w:val="28"/>
          <w:szCs w:val="28"/>
        </w:rPr>
        <w:t>主要危险因素主要有</w:t>
      </w:r>
      <w:r>
        <w:rPr>
          <w:rFonts w:hint="eastAsia"/>
          <w:color w:val="auto"/>
          <w:sz w:val="28"/>
          <w:szCs w:val="28"/>
          <w:lang w:eastAsia="zh-CN"/>
        </w:rPr>
        <w:t>：</w:t>
      </w:r>
      <w:r>
        <w:rPr>
          <w:rFonts w:hint="eastAsia"/>
          <w:color w:val="auto"/>
          <w:sz w:val="28"/>
          <w:szCs w:val="28"/>
        </w:rPr>
        <w:t>火灾爆炸、井喷及井喷失控、</w:t>
      </w:r>
      <w:r>
        <w:rPr>
          <w:rFonts w:hint="eastAsia"/>
          <w:color w:val="auto"/>
          <w:sz w:val="28"/>
          <w:szCs w:val="28"/>
          <w:lang w:val="en-US" w:eastAsia="zh-CN"/>
        </w:rPr>
        <w:t>中毒窒息</w:t>
      </w:r>
      <w:r>
        <w:rPr>
          <w:rFonts w:hint="eastAsia"/>
          <w:color w:val="auto"/>
          <w:sz w:val="28"/>
          <w:szCs w:val="28"/>
        </w:rPr>
        <w:t>、物体打击、机械伤害、触电、车辆伤害</w:t>
      </w:r>
      <w:r>
        <w:rPr>
          <w:rFonts w:hint="eastAsia"/>
          <w:color w:val="auto"/>
          <w:sz w:val="28"/>
          <w:szCs w:val="28"/>
          <w:lang w:eastAsia="zh-CN"/>
        </w:rPr>
        <w:t>、</w:t>
      </w:r>
      <w:r>
        <w:rPr>
          <w:rFonts w:hint="eastAsia"/>
          <w:color w:val="auto"/>
          <w:sz w:val="28"/>
          <w:szCs w:val="28"/>
          <w:lang w:val="en-US" w:eastAsia="zh-CN"/>
        </w:rPr>
        <w:t>起重伤害、高处坠落、坍塌以及其他伤害</w:t>
      </w:r>
      <w:r>
        <w:rPr>
          <w:rFonts w:hint="eastAsia"/>
          <w:color w:val="auto"/>
          <w:sz w:val="28"/>
          <w:szCs w:val="28"/>
        </w:rPr>
        <w:t>等。</w:t>
      </w:r>
    </w:p>
    <w:p>
      <w:pPr>
        <w:adjustRightInd w:val="0"/>
        <w:snapToGrid w:val="0"/>
        <w:spacing w:line="360" w:lineRule="auto"/>
        <w:ind w:firstLine="560" w:firstLineChars="200"/>
        <w:rPr>
          <w:color w:val="auto"/>
          <w:sz w:val="28"/>
          <w:szCs w:val="28"/>
        </w:rPr>
      </w:pPr>
      <w:r>
        <w:rPr>
          <w:rFonts w:hint="eastAsia"/>
          <w:color w:val="auto"/>
          <w:sz w:val="28"/>
          <w:szCs w:val="28"/>
        </w:rPr>
        <w:t>主要有害因素有</w:t>
      </w:r>
      <w:r>
        <w:rPr>
          <w:rFonts w:hint="eastAsia"/>
          <w:color w:val="auto"/>
          <w:sz w:val="28"/>
          <w:szCs w:val="28"/>
          <w:lang w:eastAsia="zh-CN"/>
        </w:rPr>
        <w:t>：</w:t>
      </w:r>
      <w:r>
        <w:rPr>
          <w:rFonts w:hint="eastAsia"/>
          <w:color w:val="auto"/>
          <w:sz w:val="28"/>
          <w:szCs w:val="28"/>
        </w:rPr>
        <w:t>噪声危害</w:t>
      </w:r>
      <w:r>
        <w:rPr>
          <w:rFonts w:hint="eastAsia"/>
          <w:color w:val="auto"/>
          <w:sz w:val="28"/>
          <w:szCs w:val="28"/>
          <w:lang w:eastAsia="zh-CN"/>
        </w:rPr>
        <w:t>、</w:t>
      </w:r>
      <w:r>
        <w:rPr>
          <w:rFonts w:hint="eastAsia"/>
          <w:color w:val="auto"/>
          <w:sz w:val="28"/>
          <w:szCs w:val="28"/>
        </w:rPr>
        <w:t>毒物危害</w:t>
      </w:r>
      <w:r>
        <w:rPr>
          <w:rFonts w:hint="eastAsia"/>
          <w:color w:val="auto"/>
          <w:sz w:val="28"/>
          <w:szCs w:val="28"/>
          <w:lang w:val="en-US" w:eastAsia="zh-CN"/>
        </w:rPr>
        <w:t>和振动危害</w:t>
      </w:r>
      <w:r>
        <w:rPr>
          <w:rFonts w:hint="eastAsia"/>
          <w:color w:val="auto"/>
          <w:sz w:val="28"/>
          <w:szCs w:val="28"/>
        </w:rPr>
        <w:t>。</w:t>
      </w:r>
    </w:p>
    <w:p>
      <w:pPr>
        <w:adjustRightInd w:val="0"/>
        <w:snapToGrid w:val="0"/>
        <w:spacing w:line="360" w:lineRule="auto"/>
        <w:ind w:firstLine="560" w:firstLineChars="200"/>
        <w:rPr>
          <w:color w:val="auto"/>
          <w:sz w:val="28"/>
          <w:szCs w:val="28"/>
        </w:rPr>
      </w:pPr>
      <w:r>
        <w:rPr>
          <w:rFonts w:hint="eastAsia"/>
          <w:color w:val="auto"/>
          <w:sz w:val="28"/>
          <w:szCs w:val="28"/>
        </w:rPr>
        <w:t>自然灾害有</w:t>
      </w:r>
      <w:r>
        <w:rPr>
          <w:rFonts w:hint="eastAsia"/>
          <w:color w:val="auto"/>
          <w:sz w:val="28"/>
          <w:szCs w:val="28"/>
          <w:lang w:eastAsia="zh-CN"/>
        </w:rPr>
        <w:t>：</w:t>
      </w:r>
      <w:r>
        <w:rPr>
          <w:rFonts w:ascii="Times New Roman" w:hAnsi="Times New Roman" w:cs="Times New Roman"/>
          <w:smallCaps w:val="0"/>
          <w:color w:val="auto"/>
          <w:spacing w:val="-4"/>
          <w:sz w:val="28"/>
          <w:szCs w:val="28"/>
        </w:rPr>
        <w:t>雷击、地震、洪涝灾害、大风、高温和低温</w:t>
      </w:r>
      <w:r>
        <w:rPr>
          <w:rFonts w:hint="eastAsia" w:cs="Times New Roman"/>
          <w:smallCaps w:val="0"/>
          <w:color w:val="auto"/>
          <w:spacing w:val="-4"/>
          <w:sz w:val="28"/>
          <w:szCs w:val="28"/>
          <w:lang w:eastAsia="zh-CN"/>
        </w:rPr>
        <w:t>、</w:t>
      </w:r>
      <w:r>
        <w:rPr>
          <w:rFonts w:hint="eastAsia" w:cs="Times New Roman"/>
          <w:smallCaps w:val="0"/>
          <w:color w:val="auto"/>
          <w:spacing w:val="-4"/>
          <w:sz w:val="28"/>
          <w:szCs w:val="28"/>
          <w:lang w:val="en-US" w:eastAsia="zh-CN"/>
        </w:rPr>
        <w:t>沙尘暴</w:t>
      </w:r>
      <w:r>
        <w:rPr>
          <w:rFonts w:ascii="Times New Roman" w:hAnsi="Times New Roman" w:cs="Times New Roman"/>
          <w:smallCaps w:val="0"/>
          <w:color w:val="auto"/>
          <w:spacing w:val="-4"/>
          <w:sz w:val="28"/>
          <w:szCs w:val="28"/>
        </w:rPr>
        <w:t>等</w:t>
      </w:r>
      <w:r>
        <w:rPr>
          <w:rFonts w:hint="eastAsia"/>
          <w:color w:val="auto"/>
          <w:sz w:val="28"/>
          <w:szCs w:val="28"/>
        </w:rPr>
        <w:t>。</w:t>
      </w:r>
    </w:p>
    <w:p>
      <w:pPr>
        <w:adjustRightInd w:val="0"/>
        <w:snapToGrid w:val="0"/>
        <w:spacing w:line="360" w:lineRule="auto"/>
        <w:ind w:firstLine="560" w:firstLineChars="200"/>
        <w:rPr>
          <w:rFonts w:hint="eastAsia" w:cs="Times New Roman"/>
          <w:smallCaps w:val="0"/>
          <w:color w:val="auto"/>
          <w:sz w:val="28"/>
          <w:szCs w:val="28"/>
          <w:lang w:eastAsia="zh-CN"/>
        </w:rPr>
      </w:pPr>
      <w:r>
        <w:rPr>
          <w:rFonts w:hint="eastAsia"/>
          <w:color w:val="auto"/>
          <w:sz w:val="28"/>
          <w:szCs w:val="28"/>
        </w:rPr>
        <w:t>斯伦贝谢油田技术（山东）有限公司钻井（</w:t>
      </w:r>
      <w:r>
        <w:rPr>
          <w:rFonts w:hint="eastAsia"/>
          <w:color w:val="auto"/>
          <w:sz w:val="28"/>
          <w:szCs w:val="28"/>
          <w:lang w:eastAsia="zh-CN"/>
        </w:rPr>
        <w:t>定向施工</w:t>
      </w:r>
      <w:r>
        <w:rPr>
          <w:rFonts w:hint="eastAsia"/>
          <w:color w:val="auto"/>
          <w:sz w:val="28"/>
          <w:szCs w:val="28"/>
        </w:rPr>
        <w:t>）项目未构成危险化学品重大危险源。</w:t>
      </w:r>
    </w:p>
    <w:p>
      <w:pPr>
        <w:pStyle w:val="4"/>
        <w:adjustRightInd w:val="0"/>
        <w:snapToGrid w:val="0"/>
        <w:spacing w:before="0" w:after="0" w:line="360" w:lineRule="auto"/>
        <w:rPr>
          <w:rFonts w:hint="default" w:ascii="Times New Roman" w:hAnsi="Times New Roman" w:eastAsia="黑体"/>
          <w:color w:val="auto"/>
          <w:sz w:val="28"/>
          <w:szCs w:val="28"/>
          <w:lang w:val="en-US" w:eastAsia="zh-CN"/>
        </w:rPr>
      </w:pPr>
      <w:bookmarkStart w:id="142" w:name="_Toc22815"/>
      <w:r>
        <w:rPr>
          <w:rFonts w:hint="eastAsia" w:ascii="Times New Roman" w:hAnsi="Times New Roman"/>
          <w:b w:val="0"/>
          <w:bCs/>
          <w:color w:val="auto"/>
          <w:szCs w:val="32"/>
          <w:lang w:val="en-US" w:eastAsia="zh-CN"/>
        </w:rPr>
        <w:t>9</w:t>
      </w:r>
      <w:r>
        <w:rPr>
          <w:rFonts w:hint="eastAsia" w:ascii="Times New Roman" w:hAnsi="Times New Roman"/>
          <w:b w:val="0"/>
          <w:bCs/>
          <w:color w:val="auto"/>
          <w:szCs w:val="32"/>
        </w:rPr>
        <w:t>.</w:t>
      </w:r>
      <w:r>
        <w:rPr>
          <w:rFonts w:hint="eastAsia" w:ascii="Times New Roman" w:hAnsi="Times New Roman"/>
          <w:b w:val="0"/>
          <w:bCs/>
          <w:color w:val="auto"/>
          <w:szCs w:val="32"/>
          <w:lang w:val="en-US" w:eastAsia="zh-CN"/>
        </w:rPr>
        <w:t>2</w:t>
      </w:r>
      <w:r>
        <w:rPr>
          <w:rFonts w:hint="eastAsia" w:ascii="Times New Roman" w:hAnsi="Times New Roman"/>
          <w:b w:val="0"/>
          <w:bCs/>
          <w:color w:val="auto"/>
          <w:szCs w:val="32"/>
        </w:rPr>
        <w:t xml:space="preserve"> </w:t>
      </w:r>
      <w:r>
        <w:rPr>
          <w:rFonts w:ascii="Times New Roman" w:hAnsi="Times New Roman"/>
          <w:b w:val="0"/>
          <w:bCs/>
          <w:color w:val="auto"/>
          <w:szCs w:val="32"/>
        </w:rPr>
        <w:t xml:space="preserve"> </w:t>
      </w:r>
      <w:r>
        <w:rPr>
          <w:rFonts w:hint="eastAsia" w:ascii="Times New Roman" w:hAnsi="Times New Roman"/>
          <w:b w:val="0"/>
          <w:bCs/>
          <w:color w:val="auto"/>
          <w:szCs w:val="32"/>
          <w:lang w:val="en-US" w:eastAsia="zh-CN"/>
        </w:rPr>
        <w:t>安全评价结果</w:t>
      </w:r>
      <w:bookmarkEnd w:id="142"/>
    </w:p>
    <w:p>
      <w:pPr>
        <w:keepNext/>
        <w:keepLines/>
        <w:adjustRightInd w:val="0"/>
        <w:snapToGrid w:val="0"/>
        <w:spacing w:line="360" w:lineRule="auto"/>
        <w:outlineLvl w:val="2"/>
        <w:rPr>
          <w:rFonts w:hint="default" w:eastAsia="黑体"/>
          <w:bCs/>
          <w:snapToGrid w:val="0"/>
          <w:color w:val="auto"/>
          <w:kern w:val="0"/>
          <w:sz w:val="28"/>
          <w:szCs w:val="28"/>
          <w:lang w:val="en-US" w:eastAsia="zh-CN"/>
        </w:rPr>
      </w:pPr>
      <w:r>
        <w:rPr>
          <w:rFonts w:hint="eastAsia" w:eastAsia="黑体"/>
          <w:bCs/>
          <w:snapToGrid w:val="0"/>
          <w:color w:val="auto"/>
          <w:kern w:val="0"/>
          <w:sz w:val="28"/>
          <w:szCs w:val="28"/>
          <w:lang w:val="en-US" w:eastAsia="zh-CN"/>
        </w:rPr>
        <w:t>9</w:t>
      </w:r>
      <w:r>
        <w:rPr>
          <w:rFonts w:eastAsia="黑体"/>
          <w:bCs/>
          <w:snapToGrid w:val="0"/>
          <w:color w:val="auto"/>
          <w:kern w:val="0"/>
          <w:sz w:val="28"/>
          <w:szCs w:val="28"/>
        </w:rPr>
        <w:t>.</w:t>
      </w:r>
      <w:r>
        <w:rPr>
          <w:rFonts w:hint="eastAsia" w:eastAsia="黑体"/>
          <w:bCs/>
          <w:snapToGrid w:val="0"/>
          <w:color w:val="auto"/>
          <w:kern w:val="0"/>
          <w:sz w:val="28"/>
          <w:szCs w:val="28"/>
          <w:lang w:val="en-US" w:eastAsia="zh-CN"/>
        </w:rPr>
        <w:t>2</w:t>
      </w:r>
      <w:r>
        <w:rPr>
          <w:rFonts w:eastAsia="黑体"/>
          <w:bCs/>
          <w:snapToGrid w:val="0"/>
          <w:color w:val="auto"/>
          <w:kern w:val="0"/>
          <w:sz w:val="28"/>
          <w:szCs w:val="28"/>
        </w:rPr>
        <w:t xml:space="preserve">.1 </w:t>
      </w:r>
      <w:r>
        <w:rPr>
          <w:rFonts w:hint="eastAsia" w:eastAsia="黑体"/>
          <w:bCs/>
          <w:snapToGrid w:val="0"/>
          <w:color w:val="auto"/>
          <w:kern w:val="0"/>
          <w:sz w:val="28"/>
          <w:szCs w:val="28"/>
          <w:lang w:val="en-US" w:eastAsia="zh-CN"/>
        </w:rPr>
        <w:t>安全检查表评价结果</w:t>
      </w:r>
    </w:p>
    <w:p>
      <w:pPr>
        <w:adjustRightInd w:val="0"/>
        <w:snapToGrid w:val="0"/>
        <w:spacing w:line="360" w:lineRule="auto"/>
        <w:ind w:firstLine="560" w:firstLineChars="200"/>
        <w:rPr>
          <w:rFonts w:hint="eastAsia"/>
          <w:color w:val="auto"/>
          <w:sz w:val="28"/>
          <w:szCs w:val="28"/>
          <w:lang w:eastAsia="zh-CN"/>
        </w:rPr>
      </w:pPr>
      <w:r>
        <w:rPr>
          <w:rFonts w:hint="eastAsia"/>
          <w:color w:val="auto"/>
          <w:sz w:val="28"/>
          <w:szCs w:val="28"/>
        </w:rPr>
        <w:t>生产单元</w:t>
      </w:r>
      <w:r>
        <w:rPr>
          <w:rFonts w:hint="eastAsia"/>
          <w:color w:val="auto"/>
          <w:sz w:val="28"/>
          <w:szCs w:val="28"/>
          <w:lang w:val="en-US" w:eastAsia="zh-CN"/>
        </w:rPr>
        <w:t>和</w:t>
      </w:r>
      <w:r>
        <w:rPr>
          <w:rFonts w:hint="eastAsia"/>
          <w:color w:val="auto"/>
          <w:sz w:val="28"/>
          <w:szCs w:val="28"/>
        </w:rPr>
        <w:t>管理单元安全检查表共列</w:t>
      </w:r>
      <w:r>
        <w:rPr>
          <w:rFonts w:hint="eastAsia"/>
          <w:color w:val="auto"/>
          <w:sz w:val="28"/>
          <w:szCs w:val="28"/>
          <w:lang w:val="en-US" w:eastAsia="zh-CN"/>
        </w:rPr>
        <w:t>66</w:t>
      </w:r>
      <w:r>
        <w:rPr>
          <w:rFonts w:hint="eastAsia"/>
          <w:color w:val="auto"/>
          <w:sz w:val="28"/>
          <w:szCs w:val="28"/>
        </w:rPr>
        <w:t>项检查内容，对斯伦贝谢油田技术（山东）有限公司钻井（</w:t>
      </w:r>
      <w:r>
        <w:rPr>
          <w:rFonts w:hint="eastAsia"/>
          <w:color w:val="auto"/>
          <w:sz w:val="28"/>
          <w:szCs w:val="28"/>
          <w:lang w:eastAsia="zh-CN"/>
        </w:rPr>
        <w:t>定向施工</w:t>
      </w:r>
      <w:r>
        <w:rPr>
          <w:rFonts w:hint="eastAsia"/>
          <w:color w:val="auto"/>
          <w:sz w:val="28"/>
          <w:szCs w:val="28"/>
        </w:rPr>
        <w:t>）作业在生产作业现场设施和安全管理进行符合性检查评价，</w:t>
      </w:r>
      <w:r>
        <w:rPr>
          <w:rFonts w:hint="eastAsia"/>
          <w:color w:val="auto"/>
          <w:sz w:val="28"/>
          <w:szCs w:val="28"/>
          <w:lang w:val="en-US" w:eastAsia="zh-CN"/>
        </w:rPr>
        <w:t>共</w:t>
      </w:r>
      <w:r>
        <w:rPr>
          <w:rFonts w:hint="eastAsia"/>
          <w:color w:val="auto"/>
          <w:sz w:val="28"/>
          <w:szCs w:val="28"/>
        </w:rPr>
        <w:t>检查发现</w:t>
      </w:r>
      <w:r>
        <w:rPr>
          <w:rFonts w:hint="eastAsia"/>
          <w:color w:val="auto"/>
          <w:sz w:val="28"/>
          <w:szCs w:val="28"/>
          <w:lang w:val="en-US" w:eastAsia="zh-CN"/>
        </w:rPr>
        <w:t>部分</w:t>
      </w:r>
      <w:r>
        <w:rPr>
          <w:rFonts w:hint="eastAsia"/>
          <w:color w:val="auto"/>
          <w:sz w:val="28"/>
          <w:szCs w:val="28"/>
        </w:rPr>
        <w:t>不符合要求的内容，现已整改。</w:t>
      </w:r>
    </w:p>
    <w:p>
      <w:pPr>
        <w:keepNext/>
        <w:keepLines/>
        <w:adjustRightInd w:val="0"/>
        <w:snapToGrid w:val="0"/>
        <w:spacing w:line="360" w:lineRule="auto"/>
        <w:outlineLvl w:val="2"/>
        <w:rPr>
          <w:rFonts w:hint="default" w:eastAsia="黑体"/>
          <w:bCs/>
          <w:snapToGrid w:val="0"/>
          <w:color w:val="auto"/>
          <w:kern w:val="0"/>
          <w:sz w:val="28"/>
          <w:szCs w:val="28"/>
          <w:lang w:val="en-US" w:eastAsia="zh-CN"/>
        </w:rPr>
      </w:pPr>
      <w:r>
        <w:rPr>
          <w:rFonts w:hint="eastAsia" w:eastAsia="黑体"/>
          <w:bCs/>
          <w:snapToGrid w:val="0"/>
          <w:color w:val="auto"/>
          <w:kern w:val="0"/>
          <w:sz w:val="28"/>
          <w:szCs w:val="28"/>
          <w:lang w:val="en-US" w:eastAsia="zh-CN"/>
        </w:rPr>
        <w:t>9</w:t>
      </w:r>
      <w:r>
        <w:rPr>
          <w:rFonts w:eastAsia="黑体"/>
          <w:bCs/>
          <w:snapToGrid w:val="0"/>
          <w:color w:val="auto"/>
          <w:kern w:val="0"/>
          <w:sz w:val="28"/>
          <w:szCs w:val="28"/>
        </w:rPr>
        <w:t>.</w:t>
      </w:r>
      <w:r>
        <w:rPr>
          <w:rFonts w:hint="eastAsia" w:eastAsia="黑体"/>
          <w:bCs/>
          <w:snapToGrid w:val="0"/>
          <w:color w:val="auto"/>
          <w:kern w:val="0"/>
          <w:sz w:val="28"/>
          <w:szCs w:val="28"/>
          <w:lang w:val="en-US" w:eastAsia="zh-CN"/>
        </w:rPr>
        <w:t>2</w:t>
      </w:r>
      <w:r>
        <w:rPr>
          <w:rFonts w:eastAsia="黑体"/>
          <w:bCs/>
          <w:snapToGrid w:val="0"/>
          <w:color w:val="auto"/>
          <w:kern w:val="0"/>
          <w:sz w:val="28"/>
          <w:szCs w:val="28"/>
        </w:rPr>
        <w:t>.</w:t>
      </w:r>
      <w:r>
        <w:rPr>
          <w:rFonts w:hint="eastAsia" w:eastAsia="黑体"/>
          <w:bCs/>
          <w:snapToGrid w:val="0"/>
          <w:color w:val="auto"/>
          <w:kern w:val="0"/>
          <w:sz w:val="28"/>
          <w:szCs w:val="28"/>
          <w:lang w:val="en-US" w:eastAsia="zh-CN"/>
        </w:rPr>
        <w:t>2</w:t>
      </w:r>
      <w:r>
        <w:rPr>
          <w:rFonts w:eastAsia="黑体"/>
          <w:bCs/>
          <w:snapToGrid w:val="0"/>
          <w:color w:val="auto"/>
          <w:kern w:val="0"/>
          <w:sz w:val="28"/>
          <w:szCs w:val="28"/>
        </w:rPr>
        <w:t xml:space="preserve"> </w:t>
      </w:r>
      <w:r>
        <w:rPr>
          <w:rFonts w:hint="eastAsia" w:eastAsia="黑体"/>
          <w:bCs/>
          <w:snapToGrid w:val="0"/>
          <w:color w:val="auto"/>
          <w:kern w:val="0"/>
          <w:sz w:val="28"/>
          <w:szCs w:val="28"/>
          <w:lang w:val="en-US" w:eastAsia="zh-CN"/>
        </w:rPr>
        <w:t>预先危险性分析（PHA）评价结果</w:t>
      </w:r>
    </w:p>
    <w:p>
      <w:pPr>
        <w:adjustRightInd w:val="0"/>
        <w:snapToGrid w:val="0"/>
        <w:spacing w:line="360" w:lineRule="auto"/>
        <w:ind w:firstLine="516" w:firstLineChars="200"/>
        <w:rPr>
          <w:rFonts w:hint="eastAsia" w:eastAsia="宋体" w:cs="Times New Roman"/>
          <w:smallCaps w:val="0"/>
          <w:color w:val="auto"/>
          <w:sz w:val="28"/>
          <w:szCs w:val="28"/>
          <w:lang w:eastAsia="zh-CN"/>
        </w:rPr>
      </w:pPr>
      <w:r>
        <w:rPr>
          <w:rFonts w:hint="default" w:ascii="Times New Roman" w:hAnsi="Times New Roman" w:eastAsia="宋体" w:cs="Times New Roman"/>
          <w:color w:val="auto"/>
          <w:spacing w:val="-11"/>
          <w:sz w:val="28"/>
          <w:szCs w:val="28"/>
        </w:rPr>
        <w:t>通过</w:t>
      </w:r>
      <w:r>
        <w:rPr>
          <w:rFonts w:hint="eastAsia" w:cs="Times New Roman"/>
          <w:color w:val="auto"/>
          <w:spacing w:val="-11"/>
          <w:sz w:val="28"/>
          <w:szCs w:val="28"/>
          <w:lang w:val="en-US" w:eastAsia="zh-CN"/>
        </w:rPr>
        <w:t>预先危险性</w:t>
      </w:r>
      <w:r>
        <w:rPr>
          <w:rFonts w:hint="default" w:ascii="Times New Roman" w:hAnsi="Times New Roman" w:eastAsia="宋体" w:cs="Times New Roman"/>
          <w:color w:val="auto"/>
          <w:spacing w:val="-11"/>
          <w:sz w:val="28"/>
          <w:szCs w:val="28"/>
        </w:rPr>
        <w:t>分析可知，</w:t>
      </w:r>
      <w:r>
        <w:rPr>
          <w:rFonts w:hint="eastAsia" w:ascii="Times New Roman" w:hAnsi="Times New Roman" w:eastAsia="宋体" w:cs="Times New Roman"/>
          <w:color w:val="auto"/>
          <w:spacing w:val="-11"/>
          <w:sz w:val="28"/>
          <w:szCs w:val="28"/>
          <w:lang w:val="en-US" w:eastAsia="zh-CN"/>
        </w:rPr>
        <w:t>定向</w:t>
      </w:r>
      <w:r>
        <w:rPr>
          <w:rFonts w:hint="eastAsia" w:cs="Times New Roman"/>
          <w:color w:val="auto"/>
          <w:spacing w:val="-11"/>
          <w:sz w:val="28"/>
          <w:szCs w:val="28"/>
          <w:lang w:val="en-US" w:eastAsia="zh-CN"/>
        </w:rPr>
        <w:t>施工</w:t>
      </w:r>
      <w:r>
        <w:rPr>
          <w:rFonts w:hint="default" w:ascii="Times New Roman" w:hAnsi="Times New Roman" w:eastAsia="宋体" w:cs="Times New Roman"/>
          <w:color w:val="auto"/>
          <w:spacing w:val="-11"/>
          <w:sz w:val="28"/>
          <w:szCs w:val="28"/>
        </w:rPr>
        <w:t>过程</w:t>
      </w:r>
      <w:r>
        <w:rPr>
          <w:rFonts w:hint="eastAsia" w:ascii="Times New Roman" w:hAnsi="Times New Roman" w:eastAsia="宋体" w:cs="Times New Roman"/>
          <w:color w:val="auto"/>
          <w:spacing w:val="-11"/>
          <w:sz w:val="28"/>
          <w:szCs w:val="28"/>
          <w:lang w:val="en-US" w:eastAsia="zh-CN"/>
        </w:rPr>
        <w:t>中</w:t>
      </w:r>
      <w:r>
        <w:rPr>
          <w:rFonts w:hint="default" w:ascii="Times New Roman" w:hAnsi="Times New Roman" w:eastAsia="宋体" w:cs="Times New Roman"/>
          <w:color w:val="auto"/>
          <w:spacing w:val="-11"/>
          <w:sz w:val="28"/>
          <w:szCs w:val="28"/>
        </w:rPr>
        <w:t>存在的火灾、爆炸、井喷</w:t>
      </w:r>
      <w:r>
        <w:rPr>
          <w:rFonts w:hint="eastAsia" w:ascii="Times New Roman" w:hAnsi="Times New Roman" w:eastAsia="宋体" w:cs="Times New Roman"/>
          <w:color w:val="auto"/>
          <w:spacing w:val="-11"/>
          <w:sz w:val="28"/>
          <w:szCs w:val="28"/>
          <w:lang w:val="en-US" w:eastAsia="zh-CN"/>
        </w:rPr>
        <w:t>及井喷失控、中毒窒息</w:t>
      </w:r>
      <w:r>
        <w:rPr>
          <w:rFonts w:hint="default" w:ascii="Times New Roman" w:hAnsi="Times New Roman" w:eastAsia="宋体" w:cs="Times New Roman"/>
          <w:color w:val="auto"/>
          <w:spacing w:val="-11"/>
          <w:sz w:val="28"/>
          <w:szCs w:val="28"/>
        </w:rPr>
        <w:t>事故</w:t>
      </w:r>
      <w:r>
        <w:rPr>
          <w:rFonts w:hint="default" w:ascii="Times New Roman" w:hAnsi="Times New Roman" w:eastAsia="宋体" w:cs="Times New Roman"/>
          <w:color w:val="auto"/>
          <w:spacing w:val="1"/>
          <w:sz w:val="28"/>
          <w:szCs w:val="28"/>
        </w:rPr>
        <w:t>对本项目</w:t>
      </w:r>
      <w:r>
        <w:rPr>
          <w:rFonts w:hint="eastAsia" w:ascii="Times New Roman" w:hAnsi="Times New Roman" w:eastAsia="宋体" w:cs="Times New Roman"/>
          <w:color w:val="auto"/>
          <w:spacing w:val="1"/>
          <w:sz w:val="28"/>
          <w:szCs w:val="28"/>
          <w:lang w:val="en-US" w:eastAsia="zh-CN"/>
        </w:rPr>
        <w:t>作业</w:t>
      </w:r>
      <w:r>
        <w:rPr>
          <w:rFonts w:hint="default" w:ascii="Times New Roman" w:hAnsi="Times New Roman" w:eastAsia="宋体" w:cs="Times New Roman"/>
          <w:color w:val="auto"/>
          <w:spacing w:val="1"/>
          <w:sz w:val="28"/>
          <w:szCs w:val="28"/>
        </w:rPr>
        <w:t>人员产生的影响最大，危险等级为</w:t>
      </w:r>
      <w:r>
        <w:rPr>
          <w:rFonts w:hint="default" w:ascii="Times New Roman" w:hAnsi="Times New Roman" w:eastAsia="Times New Roman" w:cs="Times New Roman"/>
          <w:color w:val="auto"/>
          <w:spacing w:val="1"/>
          <w:sz w:val="28"/>
          <w:szCs w:val="28"/>
        </w:rPr>
        <w:t>Ⅲ~Ⅳ</w:t>
      </w:r>
      <w:r>
        <w:rPr>
          <w:rFonts w:hint="default" w:ascii="Times New Roman" w:hAnsi="Times New Roman" w:eastAsia="宋体" w:cs="Times New Roman"/>
          <w:color w:val="auto"/>
          <w:spacing w:val="1"/>
          <w:sz w:val="28"/>
          <w:szCs w:val="28"/>
        </w:rPr>
        <w:t>级，属于</w:t>
      </w:r>
      <w:r>
        <w:rPr>
          <w:rFonts w:hint="eastAsia" w:ascii="Times New Roman" w:hAnsi="Times New Roman" w:eastAsia="宋体" w:cs="Times New Roman"/>
          <w:color w:val="auto"/>
          <w:spacing w:val="1"/>
          <w:sz w:val="28"/>
          <w:szCs w:val="28"/>
          <w:lang w:eastAsia="zh-CN"/>
        </w:rPr>
        <w:t>“</w:t>
      </w:r>
      <w:r>
        <w:rPr>
          <w:rFonts w:hint="default" w:ascii="Times New Roman" w:hAnsi="Times New Roman" w:eastAsia="宋体" w:cs="Times New Roman"/>
          <w:color w:val="auto"/>
          <w:spacing w:val="1"/>
          <w:sz w:val="28"/>
          <w:szCs w:val="28"/>
        </w:rPr>
        <w:t>高度危险</w:t>
      </w:r>
      <w:r>
        <w:rPr>
          <w:rFonts w:hint="eastAsia" w:ascii="Times New Roman" w:hAnsi="Times New Roman" w:eastAsia="宋体" w:cs="Times New Roman"/>
          <w:color w:val="auto"/>
          <w:spacing w:val="1"/>
          <w:sz w:val="28"/>
          <w:szCs w:val="28"/>
          <w:lang w:eastAsia="zh-CN"/>
        </w:rPr>
        <w:t>”，</w:t>
      </w:r>
      <w:r>
        <w:rPr>
          <w:rFonts w:hint="default" w:ascii="Times New Roman" w:hAnsi="Times New Roman" w:eastAsia="宋体" w:cs="Times New Roman"/>
          <w:color w:val="auto"/>
          <w:spacing w:val="1"/>
          <w:sz w:val="28"/>
          <w:szCs w:val="28"/>
        </w:rPr>
        <w:t>必须予以果断排除并进行重点防范</w:t>
      </w:r>
      <w:r>
        <w:rPr>
          <w:rFonts w:hint="eastAsia" w:ascii="Times New Roman" w:hAnsi="Times New Roman" w:eastAsia="宋体" w:cs="Times New Roman"/>
          <w:color w:val="auto"/>
          <w:spacing w:val="1"/>
          <w:sz w:val="28"/>
          <w:szCs w:val="28"/>
          <w:lang w:eastAsia="zh-CN"/>
        </w:rPr>
        <w:t>；</w:t>
      </w:r>
      <w:r>
        <w:rPr>
          <w:rFonts w:hint="eastAsia" w:ascii="Times New Roman" w:hAnsi="Times New Roman" w:eastAsia="宋体" w:cs="Times New Roman"/>
          <w:color w:val="auto"/>
          <w:spacing w:val="1"/>
          <w:sz w:val="28"/>
          <w:szCs w:val="28"/>
          <w:lang w:val="en-US" w:eastAsia="zh-CN"/>
        </w:rPr>
        <w:t>作业</w:t>
      </w:r>
      <w:r>
        <w:rPr>
          <w:rFonts w:hint="default" w:ascii="Times New Roman" w:hAnsi="Times New Roman" w:eastAsia="宋体" w:cs="Times New Roman"/>
          <w:color w:val="auto"/>
          <w:spacing w:val="1"/>
          <w:sz w:val="28"/>
          <w:szCs w:val="28"/>
        </w:rPr>
        <w:t>过程中存在的物体打击、触电、车辆伤害、</w:t>
      </w:r>
      <w:r>
        <w:rPr>
          <w:rFonts w:hint="eastAsia" w:ascii="Times New Roman" w:hAnsi="Times New Roman" w:eastAsia="宋体" w:cs="Times New Roman"/>
          <w:color w:val="auto"/>
          <w:spacing w:val="1"/>
          <w:sz w:val="28"/>
          <w:szCs w:val="28"/>
          <w:lang w:val="en-US" w:eastAsia="zh-CN"/>
        </w:rPr>
        <w:t>起重伤害、高处坠落、坍塌</w:t>
      </w:r>
      <w:r>
        <w:rPr>
          <w:rFonts w:hint="default" w:ascii="Times New Roman" w:hAnsi="Times New Roman" w:eastAsia="宋体" w:cs="Times New Roman"/>
          <w:color w:val="auto"/>
          <w:spacing w:val="-1"/>
          <w:sz w:val="28"/>
          <w:szCs w:val="28"/>
        </w:rPr>
        <w:t>等危险因素危险等级为Ⅱ～Ⅲ，属于</w:t>
      </w:r>
      <w:r>
        <w:rPr>
          <w:rFonts w:hint="eastAsia" w:ascii="Times New Roman" w:hAnsi="Times New Roman" w:eastAsia="宋体" w:cs="Times New Roman"/>
          <w:color w:val="auto"/>
          <w:spacing w:val="-1"/>
          <w:sz w:val="28"/>
          <w:szCs w:val="28"/>
          <w:lang w:eastAsia="zh-CN"/>
        </w:rPr>
        <w:t>“</w:t>
      </w:r>
      <w:r>
        <w:rPr>
          <w:rFonts w:hint="default" w:ascii="Times New Roman" w:hAnsi="Times New Roman" w:eastAsia="宋体" w:cs="Times New Roman"/>
          <w:color w:val="auto"/>
          <w:spacing w:val="-1"/>
          <w:sz w:val="28"/>
          <w:szCs w:val="28"/>
        </w:rPr>
        <w:t>中度危险</w:t>
      </w:r>
      <w:r>
        <w:rPr>
          <w:rFonts w:hint="eastAsia" w:ascii="Times New Roman" w:hAnsi="Times New Roman" w:eastAsia="宋体" w:cs="Times New Roman"/>
          <w:color w:val="auto"/>
          <w:spacing w:val="-1"/>
          <w:sz w:val="28"/>
          <w:szCs w:val="28"/>
          <w:lang w:eastAsia="zh-CN"/>
        </w:rPr>
        <w:t>”，</w:t>
      </w:r>
      <w:r>
        <w:rPr>
          <w:rFonts w:hint="default" w:ascii="Times New Roman" w:hAnsi="Times New Roman" w:eastAsia="宋体" w:cs="Times New Roman"/>
          <w:color w:val="auto"/>
          <w:spacing w:val="-1"/>
          <w:sz w:val="28"/>
          <w:szCs w:val="28"/>
        </w:rPr>
        <w:t>要立即采取防范对策措施</w:t>
      </w:r>
      <w:r>
        <w:rPr>
          <w:rFonts w:hint="eastAsia" w:ascii="Times New Roman" w:hAnsi="Times New Roman" w:eastAsia="宋体" w:cs="Times New Roman"/>
          <w:color w:val="auto"/>
          <w:spacing w:val="-1"/>
          <w:sz w:val="28"/>
          <w:szCs w:val="28"/>
          <w:lang w:eastAsia="zh-CN"/>
        </w:rPr>
        <w:t>；</w:t>
      </w:r>
      <w:r>
        <w:rPr>
          <w:rFonts w:hint="eastAsia" w:ascii="Times New Roman" w:hAnsi="Times New Roman" w:eastAsia="宋体" w:cs="Times New Roman"/>
          <w:color w:val="auto"/>
          <w:spacing w:val="-1"/>
          <w:sz w:val="28"/>
          <w:szCs w:val="28"/>
          <w:lang w:val="en-US" w:eastAsia="zh-CN"/>
        </w:rPr>
        <w:t>机械伤害、噪声与振动危害</w:t>
      </w:r>
      <w:r>
        <w:rPr>
          <w:rFonts w:hint="default" w:ascii="Times New Roman" w:hAnsi="Times New Roman" w:eastAsia="宋体" w:cs="Times New Roman"/>
          <w:color w:val="auto"/>
          <w:spacing w:val="-1"/>
          <w:sz w:val="28"/>
          <w:szCs w:val="28"/>
        </w:rPr>
        <w:t>等危险因素危险等级为</w:t>
      </w:r>
      <w:r>
        <w:rPr>
          <w:rFonts w:hint="default" w:ascii="Times New Roman" w:hAnsi="Times New Roman" w:eastAsia="Times New Roman" w:cs="Times New Roman"/>
          <w:color w:val="auto"/>
          <w:spacing w:val="-1"/>
          <w:sz w:val="28"/>
          <w:szCs w:val="28"/>
        </w:rPr>
        <w:t>Ⅱ</w:t>
      </w:r>
      <w:r>
        <w:rPr>
          <w:rFonts w:hint="eastAsia" w:ascii="Times New Roman" w:hAnsi="Times New Roman" w:eastAsia="宋体" w:cs="Times New Roman"/>
          <w:color w:val="auto"/>
          <w:spacing w:val="-1"/>
          <w:sz w:val="28"/>
          <w:szCs w:val="28"/>
          <w:lang w:val="en-US" w:eastAsia="zh-CN"/>
        </w:rPr>
        <w:t>级，危险程度为临界的，</w:t>
      </w:r>
      <w:r>
        <w:rPr>
          <w:rFonts w:hint="default" w:ascii="Times New Roman" w:hAnsi="Times New Roman" w:eastAsia="宋体" w:cs="Times New Roman"/>
          <w:color w:val="auto"/>
          <w:spacing w:val="-1"/>
          <w:sz w:val="28"/>
          <w:szCs w:val="28"/>
        </w:rPr>
        <w:t>应予以排除或采取控制措施</w:t>
      </w:r>
      <w:r>
        <w:rPr>
          <w:rFonts w:hint="eastAsia" w:cs="Times New Roman"/>
          <w:color w:val="auto"/>
          <w:spacing w:val="-1"/>
          <w:sz w:val="28"/>
          <w:szCs w:val="28"/>
          <w:lang w:eastAsia="zh-CN"/>
        </w:rPr>
        <w:t>。</w:t>
      </w:r>
    </w:p>
    <w:p>
      <w:pPr>
        <w:keepNext/>
        <w:keepLines/>
        <w:adjustRightInd w:val="0"/>
        <w:snapToGrid w:val="0"/>
        <w:spacing w:line="360" w:lineRule="auto"/>
        <w:outlineLvl w:val="2"/>
        <w:rPr>
          <w:rFonts w:hint="default" w:eastAsia="黑体"/>
          <w:bCs/>
          <w:snapToGrid w:val="0"/>
          <w:color w:val="auto"/>
          <w:kern w:val="0"/>
          <w:sz w:val="28"/>
          <w:szCs w:val="28"/>
          <w:lang w:val="en-US" w:eastAsia="zh-CN"/>
        </w:rPr>
      </w:pPr>
      <w:r>
        <w:rPr>
          <w:rFonts w:hint="eastAsia" w:eastAsia="黑体"/>
          <w:bCs/>
          <w:snapToGrid w:val="0"/>
          <w:color w:val="auto"/>
          <w:kern w:val="0"/>
          <w:sz w:val="28"/>
          <w:szCs w:val="28"/>
          <w:lang w:val="en-US" w:eastAsia="zh-CN"/>
        </w:rPr>
        <w:t>9</w:t>
      </w:r>
      <w:r>
        <w:rPr>
          <w:rFonts w:eastAsia="黑体"/>
          <w:bCs/>
          <w:snapToGrid w:val="0"/>
          <w:color w:val="auto"/>
          <w:kern w:val="0"/>
          <w:sz w:val="28"/>
          <w:szCs w:val="28"/>
        </w:rPr>
        <w:t>.</w:t>
      </w:r>
      <w:r>
        <w:rPr>
          <w:rFonts w:hint="eastAsia" w:eastAsia="黑体"/>
          <w:bCs/>
          <w:snapToGrid w:val="0"/>
          <w:color w:val="auto"/>
          <w:kern w:val="0"/>
          <w:sz w:val="28"/>
          <w:szCs w:val="28"/>
          <w:lang w:val="en-US" w:eastAsia="zh-CN"/>
        </w:rPr>
        <w:t>2</w:t>
      </w:r>
      <w:r>
        <w:rPr>
          <w:rFonts w:eastAsia="黑体"/>
          <w:bCs/>
          <w:snapToGrid w:val="0"/>
          <w:color w:val="auto"/>
          <w:kern w:val="0"/>
          <w:sz w:val="28"/>
          <w:szCs w:val="28"/>
        </w:rPr>
        <w:t>.</w:t>
      </w:r>
      <w:r>
        <w:rPr>
          <w:rFonts w:hint="eastAsia" w:eastAsia="黑体"/>
          <w:bCs/>
          <w:snapToGrid w:val="0"/>
          <w:color w:val="auto"/>
          <w:kern w:val="0"/>
          <w:sz w:val="28"/>
          <w:szCs w:val="28"/>
          <w:lang w:val="en-US" w:eastAsia="zh-CN"/>
        </w:rPr>
        <w:t>3 作业条件危险性（LEC）评价结果</w:t>
      </w:r>
    </w:p>
    <w:p>
      <w:pPr>
        <w:adjustRightInd w:val="0"/>
        <w:snapToGrid w:val="0"/>
        <w:spacing w:line="360" w:lineRule="auto"/>
        <w:ind w:firstLine="564" w:firstLineChars="200"/>
        <w:rPr>
          <w:rFonts w:hint="eastAsia" w:ascii="Times New Roman" w:hAnsi="Times New Roman" w:eastAsia="宋体" w:cs="Times New Roman"/>
          <w:color w:val="0000FF"/>
          <w:spacing w:val="1"/>
          <w:sz w:val="28"/>
          <w:szCs w:val="28"/>
          <w:lang w:eastAsia="zh-CN"/>
        </w:rPr>
      </w:pPr>
      <w:r>
        <w:rPr>
          <w:rFonts w:hint="eastAsia" w:ascii="Times New Roman" w:hAnsi="Times New Roman" w:eastAsia="宋体" w:cs="Times New Roman"/>
          <w:color w:val="auto"/>
          <w:spacing w:val="1"/>
          <w:sz w:val="28"/>
          <w:szCs w:val="28"/>
          <w:lang w:val="en-US" w:eastAsia="zh-CN"/>
        </w:rPr>
        <w:t>通过作业条件危险性评价可知，</w:t>
      </w:r>
      <w:r>
        <w:rPr>
          <w:rFonts w:hint="eastAsia" w:ascii="Times New Roman" w:hAnsi="Times New Roman" w:eastAsia="宋体" w:cs="Times New Roman"/>
          <w:color w:val="auto"/>
          <w:spacing w:val="1"/>
          <w:sz w:val="28"/>
          <w:szCs w:val="28"/>
          <w:lang w:eastAsia="zh-CN"/>
        </w:rPr>
        <w:t>该项目</w:t>
      </w:r>
      <w:r>
        <w:rPr>
          <w:rFonts w:hint="eastAsia" w:ascii="Times New Roman" w:hAnsi="Times New Roman" w:eastAsia="宋体" w:cs="Times New Roman"/>
          <w:color w:val="auto"/>
          <w:spacing w:val="1"/>
          <w:sz w:val="28"/>
          <w:szCs w:val="28"/>
          <w:lang w:val="en-US" w:eastAsia="zh-CN"/>
        </w:rPr>
        <w:t>定向井现场施工的火灾爆炸、井喷及井喷失控、中毒窒息</w:t>
      </w:r>
      <w:r>
        <w:rPr>
          <w:rFonts w:hint="eastAsia" w:ascii="Times New Roman" w:hAnsi="Times New Roman" w:eastAsia="宋体" w:cs="Times New Roman"/>
          <w:color w:val="auto"/>
          <w:spacing w:val="1"/>
          <w:sz w:val="28"/>
          <w:szCs w:val="28"/>
        </w:rPr>
        <w:t>事故的危险程度为</w:t>
      </w:r>
      <w:r>
        <w:rPr>
          <w:rFonts w:hint="eastAsia" w:ascii="Times New Roman" w:hAnsi="Times New Roman" w:eastAsia="宋体" w:cs="Times New Roman"/>
          <w:color w:val="auto"/>
          <w:spacing w:val="1"/>
          <w:sz w:val="28"/>
          <w:szCs w:val="28"/>
          <w:lang w:eastAsia="zh-CN"/>
        </w:rPr>
        <w:t>“</w:t>
      </w:r>
      <w:r>
        <w:rPr>
          <w:rFonts w:hint="eastAsia" w:ascii="Times New Roman" w:hAnsi="Times New Roman" w:eastAsia="宋体" w:cs="Times New Roman"/>
          <w:color w:val="auto"/>
          <w:spacing w:val="1"/>
          <w:sz w:val="28"/>
          <w:szCs w:val="28"/>
        </w:rPr>
        <w:t>可能危险</w:t>
      </w:r>
      <w:r>
        <w:rPr>
          <w:rFonts w:hint="eastAsia" w:ascii="Times New Roman" w:hAnsi="Times New Roman" w:eastAsia="宋体" w:cs="Times New Roman"/>
          <w:color w:val="auto"/>
          <w:spacing w:val="1"/>
          <w:sz w:val="28"/>
          <w:szCs w:val="28"/>
          <w:lang w:eastAsia="zh-CN"/>
        </w:rPr>
        <w:t>”</w:t>
      </w:r>
      <w:r>
        <w:rPr>
          <w:rFonts w:hint="eastAsia" w:ascii="Times New Roman" w:hAnsi="Times New Roman" w:eastAsia="宋体" w:cs="Times New Roman"/>
          <w:color w:val="auto"/>
          <w:spacing w:val="1"/>
          <w:sz w:val="28"/>
          <w:szCs w:val="28"/>
        </w:rPr>
        <w:t>，应作为本</w:t>
      </w:r>
      <w:r>
        <w:rPr>
          <w:rFonts w:hint="eastAsia" w:cs="Times New Roman"/>
          <w:color w:val="auto"/>
          <w:spacing w:val="1"/>
          <w:sz w:val="28"/>
          <w:szCs w:val="28"/>
          <w:lang w:val="en-US" w:eastAsia="zh-CN"/>
        </w:rPr>
        <w:t>项目</w:t>
      </w:r>
      <w:r>
        <w:rPr>
          <w:rFonts w:hint="eastAsia" w:ascii="Times New Roman" w:hAnsi="Times New Roman" w:eastAsia="宋体" w:cs="Times New Roman"/>
          <w:color w:val="auto"/>
          <w:spacing w:val="1"/>
          <w:sz w:val="28"/>
          <w:szCs w:val="28"/>
        </w:rPr>
        <w:t>安全防范的重点</w:t>
      </w:r>
      <w:r>
        <w:rPr>
          <w:rFonts w:hint="eastAsia" w:ascii="Times New Roman" w:hAnsi="Times New Roman" w:eastAsia="宋体" w:cs="Times New Roman"/>
          <w:color w:val="auto"/>
          <w:spacing w:val="1"/>
          <w:sz w:val="28"/>
          <w:szCs w:val="28"/>
          <w:lang w:eastAsia="zh-CN"/>
        </w:rPr>
        <w:t>；</w:t>
      </w:r>
      <w:r>
        <w:rPr>
          <w:rFonts w:hint="eastAsia" w:ascii="Times New Roman" w:hAnsi="Times New Roman" w:eastAsia="宋体" w:cs="Times New Roman"/>
          <w:color w:val="auto"/>
          <w:spacing w:val="1"/>
          <w:sz w:val="28"/>
          <w:szCs w:val="28"/>
          <w:lang w:val="en-US" w:eastAsia="zh-CN"/>
        </w:rPr>
        <w:t>定向井现场施工、野营房布置以及仪器的投放造成的物体打击事故，</w:t>
      </w:r>
      <w:r>
        <w:rPr>
          <w:rFonts w:hint="eastAsia"/>
          <w:snapToGrid w:val="0"/>
          <w:color w:val="auto"/>
          <w:kern w:val="0"/>
          <w:sz w:val="28"/>
          <w:szCs w:val="28"/>
          <w:lang w:val="en-US" w:eastAsia="zh-CN"/>
        </w:rPr>
        <w:t>仪器连接及测试造成的机械伤害，供配电线路造成的触电事故，在配合甲方</w:t>
      </w:r>
      <w:r>
        <w:rPr>
          <w:rFonts w:hint="eastAsia" w:ascii="Times New Roman" w:hAnsi="Times New Roman" w:eastAsia="宋体" w:cs="Times New Roman"/>
          <w:snapToGrid w:val="0"/>
          <w:color w:val="auto"/>
          <w:kern w:val="0"/>
          <w:sz w:val="28"/>
          <w:szCs w:val="28"/>
          <w:lang w:val="en-US" w:eastAsia="zh-CN"/>
        </w:rPr>
        <w:t>吊装/卸野营房及运输过程中造成的起重伤害、车辆伤害危险程度均为“稍有危险”，也应引起注意</w:t>
      </w:r>
      <w:r>
        <w:rPr>
          <w:rFonts w:hint="eastAsia" w:ascii="Times New Roman" w:hAnsi="Times New Roman" w:eastAsia="宋体" w:cs="Times New Roman"/>
          <w:color w:val="auto"/>
          <w:spacing w:val="1"/>
          <w:sz w:val="28"/>
          <w:szCs w:val="28"/>
          <w:lang w:val="en-US" w:eastAsia="zh-CN"/>
        </w:rPr>
        <w:t>。</w:t>
      </w:r>
    </w:p>
    <w:p>
      <w:pPr>
        <w:pStyle w:val="4"/>
        <w:adjustRightInd w:val="0"/>
        <w:snapToGrid w:val="0"/>
        <w:spacing w:before="0" w:after="0" w:line="360" w:lineRule="auto"/>
        <w:rPr>
          <w:rFonts w:hint="default" w:ascii="Times New Roman" w:hAnsi="Times New Roman" w:eastAsia="黑体"/>
          <w:color w:val="auto"/>
          <w:sz w:val="28"/>
          <w:szCs w:val="28"/>
          <w:lang w:val="en-US" w:eastAsia="zh-CN"/>
        </w:rPr>
      </w:pPr>
      <w:bookmarkStart w:id="143" w:name="_Toc11743"/>
      <w:r>
        <w:rPr>
          <w:rFonts w:hint="eastAsia" w:ascii="Times New Roman" w:hAnsi="Times New Roman"/>
          <w:b w:val="0"/>
          <w:bCs/>
          <w:color w:val="auto"/>
          <w:szCs w:val="32"/>
          <w:lang w:val="en-US" w:eastAsia="zh-CN"/>
        </w:rPr>
        <w:t>9</w:t>
      </w:r>
      <w:r>
        <w:rPr>
          <w:rFonts w:hint="eastAsia" w:ascii="Times New Roman" w:hAnsi="Times New Roman"/>
          <w:b w:val="0"/>
          <w:bCs/>
          <w:color w:val="auto"/>
          <w:szCs w:val="32"/>
        </w:rPr>
        <w:t>.</w:t>
      </w:r>
      <w:r>
        <w:rPr>
          <w:rFonts w:hint="eastAsia" w:ascii="Times New Roman" w:hAnsi="Times New Roman"/>
          <w:b w:val="0"/>
          <w:bCs/>
          <w:color w:val="auto"/>
          <w:szCs w:val="32"/>
          <w:lang w:val="en-US" w:eastAsia="zh-CN"/>
        </w:rPr>
        <w:t>3</w:t>
      </w:r>
      <w:r>
        <w:rPr>
          <w:rFonts w:hint="eastAsia" w:ascii="Times New Roman" w:hAnsi="Times New Roman"/>
          <w:b w:val="0"/>
          <w:bCs/>
          <w:color w:val="auto"/>
          <w:szCs w:val="32"/>
        </w:rPr>
        <w:t xml:space="preserve"> </w:t>
      </w:r>
      <w:r>
        <w:rPr>
          <w:rFonts w:ascii="Times New Roman" w:hAnsi="Times New Roman"/>
          <w:b w:val="0"/>
          <w:bCs/>
          <w:color w:val="auto"/>
          <w:szCs w:val="32"/>
        </w:rPr>
        <w:t xml:space="preserve"> </w:t>
      </w:r>
      <w:r>
        <w:rPr>
          <w:rFonts w:hint="eastAsia" w:ascii="Times New Roman" w:hAnsi="Times New Roman"/>
          <w:b w:val="0"/>
          <w:bCs/>
          <w:color w:val="auto"/>
          <w:szCs w:val="32"/>
          <w:lang w:val="en-US" w:eastAsia="zh-CN"/>
        </w:rPr>
        <w:t>安全评价结论</w:t>
      </w:r>
      <w:bookmarkEnd w:id="143"/>
    </w:p>
    <w:p>
      <w:pPr>
        <w:adjustRightInd w:val="0"/>
        <w:snapToGrid w:val="0"/>
        <w:spacing w:line="360" w:lineRule="auto"/>
        <w:ind w:firstLine="560" w:firstLineChars="200"/>
        <w:rPr>
          <w:rFonts w:ascii="Times New Roman" w:hAnsi="Times New Roman" w:cs="Times New Roman"/>
          <w:smallCaps w:val="0"/>
          <w:sz w:val="28"/>
        </w:rPr>
      </w:pPr>
      <w:r>
        <w:rPr>
          <w:rFonts w:hint="eastAsia" w:cs="Times New Roman"/>
          <w:smallCaps w:val="0"/>
          <w:sz w:val="28"/>
          <w:szCs w:val="28"/>
          <w:lang w:eastAsia="zh-CN"/>
        </w:rPr>
        <w:t>斯伦贝谢油田技术（山东）有限公司</w:t>
      </w:r>
      <w:r>
        <w:rPr>
          <w:rFonts w:ascii="Times New Roman" w:hAnsi="Times New Roman" w:cs="Times New Roman"/>
          <w:smallCaps w:val="0"/>
          <w:sz w:val="28"/>
        </w:rPr>
        <w:t>已建有完善的安全生产管理机构，按要求配备了安全生产管理人员，建立了完备的安全生产管理组织网络；主要负责人和安全管理人员通过安全培训，并取得安全</w:t>
      </w:r>
      <w:r>
        <w:rPr>
          <w:rFonts w:hint="eastAsia" w:cs="Times New Roman"/>
          <w:smallCaps w:val="0"/>
          <w:sz w:val="28"/>
          <w:lang w:val="en-US" w:eastAsia="zh-CN"/>
        </w:rPr>
        <w:t>合格</w:t>
      </w:r>
      <w:r>
        <w:rPr>
          <w:rFonts w:ascii="Times New Roman" w:hAnsi="Times New Roman" w:cs="Times New Roman"/>
          <w:smallCaps w:val="0"/>
          <w:sz w:val="28"/>
        </w:rPr>
        <w:t>证；从业人员上岗前按规定接受了</w:t>
      </w:r>
      <w:r>
        <w:rPr>
          <w:rFonts w:hint="eastAsia" w:cs="Times New Roman"/>
          <w:smallCaps w:val="0"/>
          <w:sz w:val="28"/>
          <w:lang w:eastAsia="zh-CN"/>
        </w:rPr>
        <w:t>“</w:t>
      </w:r>
      <w:r>
        <w:rPr>
          <w:rFonts w:ascii="Times New Roman" w:hAnsi="Times New Roman" w:cs="Times New Roman"/>
          <w:smallCaps w:val="0"/>
          <w:sz w:val="28"/>
        </w:rPr>
        <w:t>三级安全教育</w:t>
      </w:r>
      <w:r>
        <w:rPr>
          <w:rFonts w:hint="eastAsia" w:cs="Times New Roman"/>
          <w:smallCaps w:val="0"/>
          <w:sz w:val="28"/>
          <w:lang w:eastAsia="zh-CN"/>
        </w:rPr>
        <w:t>”</w:t>
      </w:r>
      <w:r>
        <w:rPr>
          <w:rFonts w:ascii="Times New Roman" w:hAnsi="Times New Roman" w:cs="Times New Roman"/>
          <w:smallCaps w:val="0"/>
          <w:sz w:val="28"/>
        </w:rPr>
        <w:t>，进入工区的施工人员上岗均经过HSE、硫化氢防护、井控培训。</w:t>
      </w:r>
    </w:p>
    <w:p>
      <w:pPr>
        <w:adjustRightInd w:val="0"/>
        <w:snapToGrid w:val="0"/>
        <w:spacing w:line="360" w:lineRule="auto"/>
        <w:ind w:firstLine="560" w:firstLineChars="200"/>
        <w:rPr>
          <w:rFonts w:hint="eastAsia" w:ascii="Times New Roman" w:hAnsi="Times New Roman" w:eastAsia="宋体" w:cs="Times New Roman"/>
          <w:smallCaps w:val="0"/>
          <w:sz w:val="28"/>
          <w:lang w:eastAsia="zh-CN"/>
        </w:rPr>
      </w:pPr>
      <w:r>
        <w:rPr>
          <w:rFonts w:ascii="Times New Roman" w:hAnsi="Times New Roman" w:cs="Times New Roman"/>
          <w:smallCaps w:val="0"/>
          <w:sz w:val="28"/>
        </w:rPr>
        <w:t>公司建立健全了以安全生产责任制为主的各项安全生产管理制度和岗位安全操作规程，对于危险性较大的作业，制定了安全作业规程，</w:t>
      </w:r>
      <w:r>
        <w:rPr>
          <w:rFonts w:ascii="Times New Roman" w:hAnsi="Times New Roman" w:cs="Times New Roman"/>
          <w:smallCaps w:val="0"/>
          <w:color w:val="000000"/>
          <w:sz w:val="28"/>
        </w:rPr>
        <w:t>依法参加了工伤保险</w:t>
      </w:r>
      <w:r>
        <w:rPr>
          <w:rFonts w:ascii="Times New Roman" w:hAnsi="Times New Roman" w:cs="Times New Roman"/>
          <w:smallCaps w:val="0"/>
          <w:sz w:val="28"/>
        </w:rPr>
        <w:t>和</w:t>
      </w:r>
      <w:r>
        <w:rPr>
          <w:rFonts w:ascii="Times New Roman" w:hAnsi="Times New Roman" w:cs="Times New Roman"/>
          <w:smallCaps w:val="0"/>
          <w:color w:val="000000"/>
          <w:sz w:val="28"/>
        </w:rPr>
        <w:t>安全生产责任险。</w:t>
      </w:r>
      <w:r>
        <w:rPr>
          <w:rFonts w:ascii="Times New Roman" w:hAnsi="Times New Roman" w:cs="Times New Roman"/>
          <w:smallCaps w:val="0"/>
          <w:sz w:val="28"/>
        </w:rPr>
        <w:t>在安全投入方面，参照国家有关规定计提安全经费，制定有</w:t>
      </w:r>
      <w:r>
        <w:rPr>
          <w:rFonts w:hint="eastAsia" w:cs="Times New Roman"/>
          <w:smallCaps w:val="0"/>
          <w:sz w:val="28"/>
          <w:lang w:val="en-US" w:eastAsia="zh-CN"/>
        </w:rPr>
        <w:t>安全生产投入及安全生产费用提取和使用</w:t>
      </w:r>
      <w:r>
        <w:rPr>
          <w:rFonts w:ascii="Times New Roman" w:hAnsi="Times New Roman" w:cs="Times New Roman"/>
          <w:smallCaps w:val="0"/>
          <w:sz w:val="28"/>
        </w:rPr>
        <w:t>制度，保证了安全经费的专款专用。严格</w:t>
      </w:r>
      <w:r>
        <w:rPr>
          <w:rFonts w:hint="eastAsia" w:cs="Times New Roman"/>
          <w:smallCaps w:val="0"/>
          <w:sz w:val="28"/>
          <w:lang w:val="en-US" w:eastAsia="zh-CN"/>
        </w:rPr>
        <w:t>按照国家</w:t>
      </w:r>
      <w:r>
        <w:rPr>
          <w:rFonts w:ascii="Times New Roman" w:hAnsi="Times New Roman" w:cs="Times New Roman"/>
          <w:smallCaps w:val="0"/>
          <w:sz w:val="28"/>
        </w:rPr>
        <w:t>标准为从业人员配发劳保防护用品，</w:t>
      </w:r>
      <w:r>
        <w:rPr>
          <w:rFonts w:hint="eastAsia"/>
          <w:sz w:val="28"/>
        </w:rPr>
        <w:t>定期</w:t>
      </w:r>
      <w:r>
        <w:rPr>
          <w:rFonts w:hint="eastAsia"/>
          <w:sz w:val="28"/>
          <w:lang w:val="en-US" w:eastAsia="zh-CN"/>
        </w:rPr>
        <w:t>为</w:t>
      </w:r>
      <w:r>
        <w:rPr>
          <w:rFonts w:hint="eastAsia"/>
          <w:sz w:val="28"/>
        </w:rPr>
        <w:t>作业人员进行</w:t>
      </w:r>
      <w:r>
        <w:rPr>
          <w:rFonts w:hint="eastAsia"/>
          <w:sz w:val="28"/>
          <w:lang w:val="en-US" w:eastAsia="zh-CN"/>
        </w:rPr>
        <w:t>职业</w:t>
      </w:r>
      <w:r>
        <w:rPr>
          <w:rFonts w:hint="eastAsia"/>
          <w:sz w:val="28"/>
        </w:rPr>
        <w:t>健康体检，建有员工健康档案</w:t>
      </w:r>
      <w:r>
        <w:rPr>
          <w:rFonts w:hint="eastAsia"/>
          <w:sz w:val="28"/>
          <w:lang w:eastAsia="zh-CN"/>
        </w:rPr>
        <w:t>。</w:t>
      </w:r>
    </w:p>
    <w:p>
      <w:pPr>
        <w:adjustRightInd w:val="0"/>
        <w:snapToGrid w:val="0"/>
        <w:spacing w:line="360" w:lineRule="auto"/>
        <w:ind w:firstLine="560" w:firstLineChars="200"/>
        <w:rPr>
          <w:rFonts w:ascii="Times New Roman" w:hAnsi="Times New Roman" w:cs="Times New Roman"/>
          <w:smallCaps w:val="0"/>
          <w:sz w:val="28"/>
        </w:rPr>
      </w:pPr>
      <w:r>
        <w:rPr>
          <w:rFonts w:ascii="Times New Roman" w:hAnsi="Times New Roman" w:cs="Times New Roman"/>
          <w:smallCaps w:val="0"/>
          <w:sz w:val="28"/>
        </w:rPr>
        <w:t>公司成立了事故应急救援组织</w:t>
      </w:r>
      <w:r>
        <w:rPr>
          <w:rFonts w:hint="eastAsia" w:cs="Times New Roman"/>
          <w:smallCaps w:val="0"/>
          <w:sz w:val="28"/>
          <w:lang w:val="en-US" w:eastAsia="zh-CN"/>
        </w:rPr>
        <w:t>机构</w:t>
      </w:r>
      <w:r>
        <w:rPr>
          <w:rFonts w:ascii="Times New Roman" w:hAnsi="Times New Roman" w:cs="Times New Roman"/>
          <w:smallCaps w:val="0"/>
          <w:sz w:val="28"/>
        </w:rPr>
        <w:t>，配备应急救援器材和设备，制定事故应急预案并定期进行演练。</w:t>
      </w:r>
    </w:p>
    <w:p>
      <w:pPr>
        <w:adjustRightInd w:val="0"/>
        <w:snapToGrid w:val="0"/>
        <w:spacing w:line="360" w:lineRule="auto"/>
        <w:ind w:firstLine="573"/>
        <w:rPr>
          <w:rFonts w:hint="eastAsia"/>
          <w:color w:val="auto"/>
          <w:sz w:val="28"/>
          <w:szCs w:val="28"/>
          <w:highlight w:val="none"/>
        </w:rPr>
      </w:pPr>
      <w:r>
        <w:rPr>
          <w:rFonts w:ascii="Times New Roman" w:hAnsi="Times New Roman" w:cs="Times New Roman"/>
          <w:b/>
          <w:smallCaps w:val="0"/>
          <w:sz w:val="28"/>
        </w:rPr>
        <w:t>综上所述，</w:t>
      </w:r>
      <w:r>
        <w:rPr>
          <w:rFonts w:hint="eastAsia" w:cs="Times New Roman"/>
          <w:b/>
          <w:smallCaps w:val="0"/>
          <w:sz w:val="28"/>
          <w:lang w:eastAsia="zh-CN"/>
        </w:rPr>
        <w:t>斯伦贝谢油田技术（山东）有限公司</w:t>
      </w:r>
      <w:r>
        <w:rPr>
          <w:rFonts w:hint="eastAsia" w:ascii="Times New Roman" w:hAnsi="Times New Roman" w:cs="Times New Roman"/>
          <w:b/>
          <w:smallCaps w:val="0"/>
          <w:sz w:val="28"/>
          <w:lang w:eastAsia="zh-CN"/>
        </w:rPr>
        <w:t>钻井</w:t>
      </w:r>
      <w:r>
        <w:rPr>
          <w:rFonts w:hint="eastAsia" w:cs="Times New Roman"/>
          <w:b/>
          <w:smallCaps w:val="0"/>
          <w:sz w:val="28"/>
          <w:lang w:eastAsia="zh-CN"/>
        </w:rPr>
        <w:t>（</w:t>
      </w:r>
      <w:r>
        <w:rPr>
          <w:rFonts w:hint="eastAsia" w:cs="Times New Roman"/>
          <w:b/>
          <w:smallCaps w:val="0"/>
          <w:sz w:val="28"/>
          <w:lang w:val="en-US" w:eastAsia="zh-CN"/>
        </w:rPr>
        <w:t>定向施工）</w:t>
      </w:r>
      <w:r>
        <w:rPr>
          <w:rFonts w:hint="eastAsia" w:ascii="Times New Roman" w:hAnsi="Times New Roman" w:cs="Times New Roman"/>
          <w:b/>
          <w:smallCaps w:val="0"/>
          <w:sz w:val="28"/>
          <w:lang w:eastAsia="zh-CN"/>
        </w:rPr>
        <w:t>项目</w:t>
      </w:r>
      <w:r>
        <w:rPr>
          <w:rFonts w:ascii="Times New Roman" w:hAnsi="Times New Roman" w:cs="Times New Roman"/>
          <w:b/>
          <w:smallCaps w:val="0"/>
          <w:sz w:val="28"/>
        </w:rPr>
        <w:t>的设备设施、安全管理状况符合国家法律、法规和国家及石油行业技术标准要求，具备</w:t>
      </w:r>
      <w:r>
        <w:rPr>
          <w:rFonts w:hint="eastAsia" w:ascii="Times New Roman" w:hAnsi="Times New Roman" w:cs="Times New Roman"/>
          <w:b/>
          <w:smallCaps w:val="0"/>
          <w:sz w:val="28"/>
        </w:rPr>
        <w:t>钻井</w:t>
      </w:r>
      <w:r>
        <w:rPr>
          <w:rFonts w:hint="eastAsia" w:cs="Times New Roman"/>
          <w:b/>
          <w:smallCaps w:val="0"/>
          <w:sz w:val="28"/>
          <w:lang w:eastAsia="zh-CN"/>
        </w:rPr>
        <w:t>（</w:t>
      </w:r>
      <w:r>
        <w:rPr>
          <w:rFonts w:hint="eastAsia" w:cs="Times New Roman"/>
          <w:b/>
          <w:smallCaps w:val="0"/>
          <w:sz w:val="28"/>
          <w:lang w:val="en-US" w:eastAsia="zh-CN"/>
        </w:rPr>
        <w:t>定向施工）</w:t>
      </w:r>
      <w:r>
        <w:rPr>
          <w:rFonts w:hint="eastAsia" w:ascii="Times New Roman" w:hAnsi="Times New Roman" w:cs="Times New Roman"/>
          <w:b/>
          <w:smallCaps w:val="0"/>
          <w:sz w:val="28"/>
        </w:rPr>
        <w:t>项目</w:t>
      </w:r>
      <w:r>
        <w:rPr>
          <w:rFonts w:ascii="Times New Roman" w:hAnsi="Times New Roman" w:cs="Times New Roman"/>
          <w:b/>
          <w:smallCaps w:val="0"/>
          <w:sz w:val="28"/>
        </w:rPr>
        <w:t>安全生产</w:t>
      </w:r>
      <w:r>
        <w:rPr>
          <w:rFonts w:hint="eastAsia" w:ascii="Times New Roman" w:hAnsi="Times New Roman" w:cs="Times New Roman"/>
          <w:b/>
          <w:smallCaps w:val="0"/>
          <w:sz w:val="28"/>
          <w:lang w:val="en-US" w:eastAsia="zh-CN"/>
        </w:rPr>
        <w:t>的</w:t>
      </w:r>
      <w:r>
        <w:rPr>
          <w:rFonts w:ascii="Times New Roman" w:hAnsi="Times New Roman" w:cs="Times New Roman"/>
          <w:b/>
          <w:smallCaps w:val="0"/>
          <w:sz w:val="28"/>
        </w:rPr>
        <w:t>条</w:t>
      </w:r>
      <w:r>
        <w:rPr>
          <w:rFonts w:ascii="Times New Roman" w:hAnsi="Times New Roman" w:cs="Times New Roman"/>
          <w:b/>
          <w:smallCaps w:val="0"/>
          <w:color w:val="auto"/>
          <w:sz w:val="28"/>
        </w:rPr>
        <w:t>件</w:t>
      </w:r>
      <w:r>
        <w:rPr>
          <w:rFonts w:hint="eastAsia"/>
          <w:color w:val="auto"/>
          <w:sz w:val="28"/>
          <w:szCs w:val="28"/>
          <w:highlight w:val="none"/>
        </w:rPr>
        <w:t>。</w:t>
      </w:r>
    </w:p>
    <w:p>
      <w:pPr>
        <w:adjustRightInd w:val="0"/>
        <w:snapToGrid w:val="0"/>
        <w:spacing w:line="360" w:lineRule="auto"/>
        <w:ind w:firstLine="573"/>
        <w:rPr>
          <w:rFonts w:hint="eastAsia"/>
          <w:color w:val="auto"/>
          <w:sz w:val="28"/>
          <w:szCs w:val="28"/>
          <w:highlight w:val="none"/>
        </w:rPr>
      </w:pPr>
    </w:p>
    <w:p>
      <w:pPr>
        <w:adjustRightInd w:val="0"/>
        <w:snapToGrid w:val="0"/>
        <w:spacing w:line="360" w:lineRule="auto"/>
        <w:ind w:firstLine="573"/>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pStyle w:val="2"/>
        <w:rPr>
          <w:rFonts w:hint="eastAsia"/>
          <w:color w:val="auto"/>
          <w:sz w:val="28"/>
          <w:szCs w:val="28"/>
          <w:highlight w:val="none"/>
        </w:rPr>
      </w:pPr>
    </w:p>
    <w:p>
      <w:pPr>
        <w:spacing w:line="360" w:lineRule="auto"/>
        <w:jc w:val="both"/>
        <w:rPr>
          <w:rFonts w:hint="default"/>
          <w:sz w:val="24"/>
          <w:lang w:val="en-US" w:eastAsia="zh-CN"/>
        </w:rPr>
      </w:pPr>
    </w:p>
    <w:p>
      <w:pPr>
        <w:pStyle w:val="2"/>
        <w:rPr>
          <w:rFonts w:hint="eastAsia"/>
          <w:lang w:val="en-US" w:eastAsia="zh-CN"/>
        </w:rPr>
      </w:pPr>
    </w:p>
    <w:sectPr>
      <w:footerReference r:id="rId18" w:type="default"/>
      <w:headerReference r:id="rId17" w:type="even"/>
      <w:footerReference r:id="rId1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Garamond">
    <w:panose1 w:val="02020404030301010803"/>
    <w:charset w:val="00"/>
    <w:family w:val="roman"/>
    <w:pitch w:val="default"/>
    <w:sig w:usb0="00000287" w:usb1="00000000" w:usb2="00000000" w:usb3="00000000" w:csb0="0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right" w:y="1"/>
      <w:ind w:firstLine="560"/>
      <w:rPr>
        <w:rStyle w:val="56"/>
      </w:rPr>
    </w:pPr>
    <w:r>
      <w:rPr>
        <w:rStyle w:val="56"/>
      </w:rPr>
      <w:fldChar w:fldCharType="begin"/>
    </w:r>
    <w:r>
      <w:rPr>
        <w:rStyle w:val="56"/>
      </w:rPr>
      <w:instrText xml:space="preserve">PAGE  </w:instrText>
    </w:r>
    <w:r>
      <w:rPr>
        <w:rStyle w:val="56"/>
      </w:rPr>
      <w:fldChar w:fldCharType="separate"/>
    </w:r>
    <w:r>
      <w:rPr>
        <w:rStyle w:val="56"/>
      </w:rPr>
      <w:t>2</w:t>
    </w:r>
    <w:r>
      <w:rPr>
        <w:rStyle w:val="56"/>
      </w:rPr>
      <w:fldChar w:fldCharType="end"/>
    </w:r>
  </w:p>
  <w:p>
    <w:pPr>
      <w:pStyle w:val="35"/>
      <w:ind w:right="360" w:firstLine="4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651510" cy="30035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51510"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jc w:val="center"/>
                          </w:pPr>
                          <w:r>
                            <w:fldChar w:fldCharType="begin"/>
                          </w:r>
                          <w:r>
                            <w:instrText xml:space="preserve">PAGE   \* MERGEFORMAT</w:instrText>
                          </w:r>
                          <w:r>
                            <w:fldChar w:fldCharType="separate"/>
                          </w:r>
                          <w:r>
                            <w:rPr>
                              <w:lang w:val="zh-CN"/>
                            </w:rPr>
                            <w:t>54</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3.65pt;width:51.3pt;mso-position-horizontal:center;mso-position-horizontal-relative:margin;z-index:251666432;mso-width-relative:page;mso-height-relative:page;" filled="f" stroked="f" coordsize="21600,21600" o:gfxdata="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FBdrXTAAAABAEAAA8AAAAAAAAAAQAgAAAAIgAAAGRycy9kb3ducmV2Lnht&#10;bFBLAQIUABQAAAAIAIdO4kAhsDkENwIAAGMEAAAOAAAAAAAAAAEAIAAAACIBAABkcnMvZTJvRG9j&#10;LnhtbFBLBQYAAAAABgAGAFkBAADLBQAAAAA=&#10;">
              <v:fill on="f" focussize="0,0"/>
              <v:stroke on="f" weight="0.5pt"/>
              <v:imagedata o:title=""/>
              <o:lock v:ext="edit" aspectratio="f"/>
              <v:textbox inset="0mm,0mm,0mm,0mm">
                <w:txbxContent>
                  <w:p>
                    <w:pPr>
                      <w:pStyle w:val="35"/>
                      <w:jc w:val="center"/>
                    </w:pPr>
                    <w:r>
                      <w:fldChar w:fldCharType="begin"/>
                    </w:r>
                    <w:r>
                      <w:instrText xml:space="preserve">PAGE   \* MERGEFORMAT</w:instrText>
                    </w:r>
                    <w:r>
                      <w:fldChar w:fldCharType="separate"/>
                    </w:r>
                    <w:r>
                      <w:rPr>
                        <w:lang w:val="zh-CN"/>
                      </w:rPr>
                      <w:t>54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jc w:val="center"/>
                          </w:pPr>
                          <w:r>
                            <w:fldChar w:fldCharType="begin"/>
                          </w:r>
                          <w:r>
                            <w:instrText xml:space="preserve">PAGE   \* MERGEFORMAT</w:instrText>
                          </w:r>
                          <w:r>
                            <w:fldChar w:fldCharType="separate"/>
                          </w:r>
                          <w:r>
                            <w:rPr>
                              <w:lang w:val="zh-CN"/>
                            </w:rP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35"/>
                      <w:jc w:val="center"/>
                    </w:pPr>
                    <w:r>
                      <w:fldChar w:fldCharType="begin"/>
                    </w:r>
                    <w:r>
                      <w:instrText xml:space="preserve">PAGE   \* MERGEFORMAT</w:instrText>
                    </w:r>
                    <w:r>
                      <w:fldChar w:fldCharType="separate"/>
                    </w:r>
                    <w:r>
                      <w:rPr>
                        <w:lang w:val="zh-CN"/>
                      </w:rPr>
                      <w:t>55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jc w:val="center"/>
      <w:rPr>
        <w:rStyle w:val="56"/>
      </w:rPr>
    </w:pPr>
    <w:r>
      <w:rPr>
        <w:rStyle w:val="56"/>
      </w:rPr>
      <w:fldChar w:fldCharType="begin"/>
    </w:r>
    <w:r>
      <w:rPr>
        <w:rStyle w:val="56"/>
      </w:rPr>
      <w:instrText xml:space="preserve">PAGE  </w:instrText>
    </w:r>
    <w:r>
      <w:rPr>
        <w:rStyle w:val="56"/>
      </w:rPr>
      <w:fldChar w:fldCharType="separate"/>
    </w:r>
    <w:r>
      <w:rPr>
        <w:rStyle w:val="56"/>
      </w:rPr>
      <w:t>30</w:t>
    </w:r>
    <w:r>
      <w:rPr>
        <w:rStyle w:val="56"/>
      </w:rPr>
      <w:fldChar w:fldCharType="end"/>
    </w:r>
  </w:p>
  <w:p>
    <w:pPr>
      <w:pStyle w:val="35"/>
      <w:pBdr>
        <w:top w:val="single" w:color="auto" w:sz="6" w:space="1"/>
      </w:pBdr>
      <w:tabs>
        <w:tab w:val="left" w:pos="9180"/>
      </w:tabs>
      <w:ind w:right="5"/>
    </w:pPr>
    <w:r>
      <w:rPr>
        <w:rStyle w:val="56"/>
        <w:rFonts w:hint="eastAsia"/>
      </w:rPr>
      <w:t xml:space="preserve">                                                                  </w:t>
    </w:r>
    <w:r>
      <w:rPr>
        <w:rFonts w:hint="eastAsia" w:ascii="仿宋_GB2312" w:eastAsia="仿宋_GB2312"/>
        <w:bCs/>
        <w:spacing w:val="20"/>
        <w:kern w:val="0"/>
      </w:rPr>
      <w:t>北京实华油海工程技术有限公司</w:t>
    </w:r>
    <w: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-12065</wp:posOffset>
              </wp:positionV>
              <wp:extent cx="6019800" cy="635"/>
              <wp:effectExtent l="0" t="0" r="19050" b="37465"/>
              <wp:wrapNone/>
              <wp:docPr id="2" name="Line 1"/>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line">
                        <a:avLst/>
                      </a:prstGeom>
                      <a:noFill/>
                      <a:ln w="9525">
                        <a:solidFill>
                          <a:srgbClr val="FFFFFF"/>
                        </a:solidFill>
                        <a:round/>
                      </a:ln>
                    </wps:spPr>
                    <wps:bodyPr/>
                  </wps:wsp>
                </a:graphicData>
              </a:graphic>
            </wp:anchor>
          </w:drawing>
        </mc:Choice>
        <mc:Fallback>
          <w:pict>
            <v:line id="Line 1" o:spid="_x0000_s1026" o:spt="20" style="position:absolute;left:0pt;margin-left:0pt;margin-top:-0.95pt;height:0.05pt;width:474pt;z-index:251659264;mso-width-relative:page;mso-height-relative:page;" filled="f" stroked="t" coordsize="21600,21600" o:allowincell="f" o:gfxdata="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NOy3k1AAAAAYBAAAPAAAAAAAAAAEAIAAAACIAAABkcnMvZG93&#10;bnJldi54bWxQSwECFAAUAAAACACHTuJAfC3jZcsBAAChAwAADgAAAAAAAAABACAAAAAjAQAAZHJz&#10;L2Uyb0RvYy54bWxQSwUGAAAAAAYABgBZAQAAYAUAAAAA&#10;">
              <v:fill on="f" focussize="0,0"/>
              <v:stroke color="#FFFFFF" joinstyle="round"/>
              <v:imagedata o:title=""/>
              <o:lock v:ext="edit" aspectratio="f"/>
            </v:line>
          </w:pict>
        </mc:Fallback>
      </mc:AlternateContent>
    </w:r>
    <w:r>
      <mc:AlternateContent>
        <mc:Choice Requires="wps">
          <w:drawing>
            <wp:anchor distT="0" distB="0" distL="114300" distR="114300" simplePos="0" relativeHeight="251660288" behindDoc="0" locked="0" layoutInCell="0" allowOverlap="1">
              <wp:simplePos x="0" y="0"/>
              <wp:positionH relativeFrom="column">
                <wp:posOffset>0</wp:posOffset>
              </wp:positionH>
              <wp:positionV relativeFrom="paragraph">
                <wp:posOffset>-12065</wp:posOffset>
              </wp:positionV>
              <wp:extent cx="6019800" cy="635"/>
              <wp:effectExtent l="0" t="0" r="19050" b="37465"/>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6019800" cy="635"/>
                      </a:xfrm>
                      <a:prstGeom prst="line">
                        <a:avLst/>
                      </a:prstGeom>
                      <a:noFill/>
                      <a:ln w="9525">
                        <a:solidFill>
                          <a:srgbClr val="FFFFFF"/>
                        </a:solidFill>
                        <a:round/>
                      </a:ln>
                    </wps:spPr>
                    <wps:bodyPr/>
                  </wps:wsp>
                </a:graphicData>
              </a:graphic>
            </wp:anchor>
          </w:drawing>
        </mc:Choice>
        <mc:Fallback>
          <w:pict>
            <v:line id="Line 2" o:spid="_x0000_s1026" o:spt="20" style="position:absolute;left:0pt;margin-left:0pt;margin-top:-0.95pt;height:0.05pt;width:474pt;z-index:251660288;mso-width-relative:page;mso-height-relative:page;" filled="f" stroked="t" coordsize="21600,21600" o:allowincell="f" o:gfxdata="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Tst5NQAAAAGAQAADwAAAAAAAAABACAAAAAiAAAAZHJzL2Rv&#10;d25yZXYueG1sUEsBAhQAFAAAAAgAh07iQFGxv3TMAQAAoQMAAA4AAAAAAAAAAQAgAAAAIwEAAGRy&#10;cy9lMm9Eb2MueG1sUEsFBgAAAAAGAAYAWQEAAGEFAAAAAA==&#10;">
              <v:fill on="f" focussize="0,0"/>
              <v:stroke color="#FFFFFF" joinstyle="round"/>
              <v:imagedata o:title=""/>
              <o:lock v:ext="edit" aspectratio="f"/>
            </v:line>
          </w:pict>
        </mc:Fallback>
      </mc:AlternateContent>
    </w:r>
  </w:p>
  <w:p>
    <w:pPr>
      <w:ind w:firstLine="560"/>
    </w:pPr>
  </w:p>
  <w:p>
    <w:pPr>
      <w:ind w:firstLine="560"/>
    </w:pPr>
  </w:p>
  <w:p>
    <w:pPr>
      <w:ind w:firstLine="5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jc w:val="center"/>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35"/>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jc w:val="center"/>
                          </w:pPr>
                          <w:r>
                            <w:fldChar w:fldCharType="begin"/>
                          </w:r>
                          <w:r>
                            <w:instrText xml:space="preserve">PAGE   \* MERGEFORMAT</w:instrText>
                          </w:r>
                          <w:r>
                            <w:fldChar w:fldCharType="separate"/>
                          </w:r>
                          <w:r>
                            <w:rPr>
                              <w:lang w:val="zh-CN"/>
                            </w:rP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35"/>
                      <w:jc w:val="center"/>
                    </w:pPr>
                    <w:r>
                      <w:fldChar w:fldCharType="begin"/>
                    </w:r>
                    <w:r>
                      <w:instrText xml:space="preserve">PAGE   \* MERGEFORMAT</w:instrText>
                    </w:r>
                    <w:r>
                      <w:fldChar w:fldCharType="separate"/>
                    </w:r>
                    <w:r>
                      <w:rPr>
                        <w:lang w:val="zh-CN"/>
                      </w:rPr>
                      <w:t>39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jc w:val="center"/>
                          </w:pPr>
                          <w:r>
                            <w:fldChar w:fldCharType="begin"/>
                          </w:r>
                          <w:r>
                            <w:instrText xml:space="preserve">PAGE   \* MERGEFORMAT</w:instrText>
                          </w:r>
                          <w:r>
                            <w:fldChar w:fldCharType="separate"/>
                          </w:r>
                          <w:r>
                            <w:rPr>
                              <w:lang w:val="zh-CN"/>
                            </w:rP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35"/>
                      <w:jc w:val="center"/>
                    </w:pPr>
                    <w:r>
                      <w:fldChar w:fldCharType="begin"/>
                    </w:r>
                    <w:r>
                      <w:instrText xml:space="preserve">PAGE   \* MERGEFORMAT</w:instrText>
                    </w:r>
                    <w:r>
                      <w:fldChar w:fldCharType="separate"/>
                    </w:r>
                    <w:r>
                      <w:rPr>
                        <w:lang w:val="zh-CN"/>
                      </w:rP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jc w:val="center"/>
                          </w:pPr>
                          <w:r>
                            <w:fldChar w:fldCharType="begin"/>
                          </w:r>
                          <w:r>
                            <w:instrText xml:space="preserve">PAGE   \* MERGEFORMAT</w:instrText>
                          </w:r>
                          <w:r>
                            <w:fldChar w:fldCharType="separate"/>
                          </w:r>
                          <w:r>
                            <w:rPr>
                              <w:lang w:val="zh-CN"/>
                            </w:rP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35"/>
                      <w:jc w:val="center"/>
                    </w:pPr>
                    <w:r>
                      <w:fldChar w:fldCharType="begin"/>
                    </w:r>
                    <w:r>
                      <w:instrText xml:space="preserve">PAGE   \* MERGEFORMAT</w:instrText>
                    </w:r>
                    <w:r>
                      <w:fldChar w:fldCharType="separate"/>
                    </w:r>
                    <w:r>
                      <w:rPr>
                        <w:lang w:val="zh-CN"/>
                      </w:rP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4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rFonts w:hint="eastAsia" w:eastAsia="宋体"/>
        <w:lang w:val="en-US" w:eastAsia="zh-CN"/>
      </w:rPr>
    </w:pPr>
    <w:r>
      <w:rPr>
        <w:rFonts w:hint="eastAsia"/>
        <w:lang w:eastAsia="zh-CN"/>
      </w:rPr>
      <w:t>斯伦贝谢油田技术（山东）有限公司钻井（定向施工）项目</w:t>
    </w:r>
    <w:r>
      <w:rPr>
        <w:rFonts w:hint="eastAsia"/>
      </w:rPr>
      <w:t>安全现状评价</w:t>
    </w:r>
    <w:r>
      <w:rPr>
        <w:rFonts w:hint="eastAsia"/>
        <w:lang w:val="en-US" w:eastAsia="zh-CN"/>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rFonts w:hint="eastAsia" w:eastAsia="宋体"/>
        <w:sz w:val="15"/>
        <w:szCs w:val="15"/>
        <w:lang w:val="en-US" w:eastAsia="zh-CN"/>
      </w:rPr>
    </w:pPr>
    <w:r>
      <w:rPr>
        <w:rFonts w:hint="eastAsia"/>
        <w:sz w:val="15"/>
        <w:szCs w:val="15"/>
        <w:lang w:eastAsia="zh-CN"/>
      </w:rPr>
      <w:t>斯伦贝谢油田技术（山东）有限公司钻井（定向施工）项目</w:t>
    </w:r>
    <w:r>
      <w:rPr>
        <w:rFonts w:hint="eastAsia"/>
        <w:sz w:val="15"/>
        <w:szCs w:val="15"/>
      </w:rPr>
      <w:t>安全现状评价</w:t>
    </w:r>
    <w:r>
      <w:rPr>
        <w:rFonts w:hint="eastAsia"/>
        <w:sz w:val="15"/>
        <w:szCs w:val="15"/>
        <w:lang w:val="en-US" w:eastAsia="zh-CN"/>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胜利油田石化总厂汽油产品质量升级技改工程                                            设立安全评价报告</w:t>
    </w:r>
    <w:r>
      <w:rPr>
        <w:rFonts w:hint="eastAsia" w:ascii="仿宋_GB2312" w:eastAsia="仿宋_GB2312"/>
        <w:bCs/>
        <w:spacing w:val="20"/>
        <w:kern w:val="0"/>
      </w:rPr>
      <w:t xml:space="preserve">            </w:t>
    </w:r>
  </w:p>
  <w:p>
    <w:pPr>
      <w:ind w:firstLine="560"/>
    </w:pPr>
  </w:p>
  <w:p>
    <w:pPr>
      <w:ind w:firstLine="560"/>
    </w:pPr>
  </w:p>
  <w:p>
    <w:pPr>
      <w:ind w:firstLine="5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C39C4"/>
    <w:multiLevelType w:val="multilevel"/>
    <w:tmpl w:val="90AC39C4"/>
    <w:lvl w:ilvl="0" w:tentative="0">
      <w:start w:val="1"/>
      <w:numFmt w:val="decimal"/>
      <w:suff w:val="nothing"/>
      <w:lvlText w:val="%1."/>
      <w:lvlJc w:val="left"/>
      <w:pPr>
        <w:ind w:left="737" w:hanging="177"/>
      </w:pPr>
      <w:rPr>
        <w:rFonts w:hint="default"/>
      </w:rPr>
    </w:lvl>
    <w:lvl w:ilvl="1" w:tentative="0">
      <w:start w:val="1"/>
      <w:numFmt w:val="decimal"/>
      <w:lvlText w:val="%2、"/>
      <w:lvlJc w:val="left"/>
      <w:pPr>
        <w:ind w:left="1700" w:hanging="720"/>
      </w:pPr>
      <w:rPr>
        <w:rFonts w:hint="default"/>
      </w:rPr>
    </w:lvl>
    <w:lvl w:ilvl="2" w:tentative="0">
      <w:start w:val="1"/>
      <w:numFmt w:val="lowerRoman"/>
      <w:lvlText w:val="%3."/>
      <w:lvlJc w:val="right"/>
      <w:pPr>
        <w:ind w:left="1820" w:hanging="420"/>
      </w:pPr>
      <w:rPr>
        <w:rFonts w:hint="eastAsia"/>
      </w:rPr>
    </w:lvl>
    <w:lvl w:ilvl="3" w:tentative="0">
      <w:start w:val="1"/>
      <w:numFmt w:val="decimal"/>
      <w:lvlText w:val="%4."/>
      <w:lvlJc w:val="left"/>
      <w:pPr>
        <w:ind w:left="2240" w:hanging="420"/>
      </w:pPr>
      <w:rPr>
        <w:rFonts w:hint="eastAsia"/>
      </w:rPr>
    </w:lvl>
    <w:lvl w:ilvl="4" w:tentative="0">
      <w:start w:val="1"/>
      <w:numFmt w:val="lowerLetter"/>
      <w:lvlText w:val="%5)"/>
      <w:lvlJc w:val="left"/>
      <w:pPr>
        <w:ind w:left="2660" w:hanging="420"/>
      </w:pPr>
      <w:rPr>
        <w:rFonts w:hint="eastAsia"/>
      </w:rPr>
    </w:lvl>
    <w:lvl w:ilvl="5" w:tentative="0">
      <w:start w:val="1"/>
      <w:numFmt w:val="lowerRoman"/>
      <w:lvlText w:val="%6."/>
      <w:lvlJc w:val="right"/>
      <w:pPr>
        <w:ind w:left="3080" w:hanging="420"/>
      </w:pPr>
      <w:rPr>
        <w:rFonts w:hint="eastAsia"/>
      </w:rPr>
    </w:lvl>
    <w:lvl w:ilvl="6" w:tentative="0">
      <w:start w:val="1"/>
      <w:numFmt w:val="decimal"/>
      <w:lvlText w:val="%7."/>
      <w:lvlJc w:val="left"/>
      <w:pPr>
        <w:ind w:left="3500" w:hanging="420"/>
      </w:pPr>
      <w:rPr>
        <w:rFonts w:hint="eastAsia"/>
      </w:rPr>
    </w:lvl>
    <w:lvl w:ilvl="7" w:tentative="0">
      <w:start w:val="1"/>
      <w:numFmt w:val="lowerLetter"/>
      <w:lvlText w:val="%8)"/>
      <w:lvlJc w:val="left"/>
      <w:pPr>
        <w:ind w:left="3920" w:hanging="420"/>
      </w:pPr>
      <w:rPr>
        <w:rFonts w:hint="eastAsia"/>
      </w:rPr>
    </w:lvl>
    <w:lvl w:ilvl="8" w:tentative="0">
      <w:start w:val="1"/>
      <w:numFmt w:val="lowerRoman"/>
      <w:lvlText w:val="%9."/>
      <w:lvlJc w:val="right"/>
      <w:pPr>
        <w:ind w:left="4340" w:hanging="420"/>
      </w:pPr>
      <w:rPr>
        <w:rFonts w:hint="eastAsia"/>
      </w:rPr>
    </w:lvl>
  </w:abstractNum>
  <w:abstractNum w:abstractNumId="1">
    <w:nsid w:val="A1E70E00"/>
    <w:multiLevelType w:val="singleLevel"/>
    <w:tmpl w:val="A1E70E00"/>
    <w:lvl w:ilvl="0" w:tentative="0">
      <w:start w:val="1"/>
      <w:numFmt w:val="decimal"/>
      <w:lvlText w:val="%1."/>
      <w:lvlJc w:val="left"/>
      <w:pPr>
        <w:tabs>
          <w:tab w:val="left" w:pos="312"/>
        </w:tabs>
      </w:pPr>
    </w:lvl>
  </w:abstractNum>
  <w:abstractNum w:abstractNumId="2">
    <w:nsid w:val="AA4CBA04"/>
    <w:multiLevelType w:val="singleLevel"/>
    <w:tmpl w:val="AA4CBA04"/>
    <w:lvl w:ilvl="0" w:tentative="0">
      <w:start w:val="1"/>
      <w:numFmt w:val="decimal"/>
      <w:lvlText w:val="%1."/>
      <w:lvlJc w:val="left"/>
      <w:pPr>
        <w:tabs>
          <w:tab w:val="left" w:pos="312"/>
        </w:tabs>
      </w:pPr>
    </w:lvl>
  </w:abstractNum>
  <w:abstractNum w:abstractNumId="3">
    <w:nsid w:val="C7580F32"/>
    <w:multiLevelType w:val="singleLevel"/>
    <w:tmpl w:val="C7580F32"/>
    <w:lvl w:ilvl="0" w:tentative="0">
      <w:start w:val="1"/>
      <w:numFmt w:val="decimal"/>
      <w:lvlText w:val="%1."/>
      <w:lvlJc w:val="left"/>
      <w:pPr>
        <w:ind w:left="425" w:hanging="425"/>
      </w:pPr>
      <w:rPr>
        <w:rFonts w:hint="default"/>
      </w:rPr>
    </w:lvl>
  </w:abstractNum>
  <w:abstractNum w:abstractNumId="4">
    <w:nsid w:val="D6967864"/>
    <w:multiLevelType w:val="singleLevel"/>
    <w:tmpl w:val="D6967864"/>
    <w:lvl w:ilvl="0" w:tentative="0">
      <w:start w:val="1"/>
      <w:numFmt w:val="decimal"/>
      <w:lvlText w:val="%1."/>
      <w:lvlJc w:val="left"/>
      <w:pPr>
        <w:tabs>
          <w:tab w:val="left" w:pos="312"/>
        </w:tabs>
      </w:pPr>
    </w:lvl>
  </w:abstractNum>
  <w:abstractNum w:abstractNumId="5">
    <w:nsid w:val="EB7C84CC"/>
    <w:multiLevelType w:val="singleLevel"/>
    <w:tmpl w:val="EB7C84CC"/>
    <w:lvl w:ilvl="0" w:tentative="0">
      <w:start w:val="1"/>
      <w:numFmt w:val="decimal"/>
      <w:lvlText w:val="%1."/>
      <w:lvlJc w:val="left"/>
      <w:pPr>
        <w:tabs>
          <w:tab w:val="left" w:pos="312"/>
        </w:tabs>
      </w:pPr>
    </w:lvl>
  </w:abstractNum>
  <w:abstractNum w:abstractNumId="6">
    <w:nsid w:val="EFDAC372"/>
    <w:multiLevelType w:val="singleLevel"/>
    <w:tmpl w:val="EFDAC372"/>
    <w:lvl w:ilvl="0" w:tentative="0">
      <w:start w:val="1"/>
      <w:numFmt w:val="decimal"/>
      <w:lvlText w:val="%1."/>
      <w:lvlJc w:val="left"/>
      <w:pPr>
        <w:tabs>
          <w:tab w:val="left" w:pos="312"/>
        </w:tabs>
      </w:pPr>
    </w:lvl>
  </w:abstractNum>
  <w:abstractNum w:abstractNumId="7">
    <w:nsid w:val="F5B70CB4"/>
    <w:multiLevelType w:val="singleLevel"/>
    <w:tmpl w:val="F5B70CB4"/>
    <w:lvl w:ilvl="0" w:tentative="0">
      <w:start w:val="1"/>
      <w:numFmt w:val="decimal"/>
      <w:suff w:val="space"/>
      <w:lvlText w:val="%1."/>
      <w:lvlJc w:val="left"/>
    </w:lvl>
  </w:abstractNum>
  <w:abstractNum w:abstractNumId="8">
    <w:nsid w:val="FE771073"/>
    <w:multiLevelType w:val="singleLevel"/>
    <w:tmpl w:val="FE771073"/>
    <w:lvl w:ilvl="0" w:tentative="0">
      <w:start w:val="1"/>
      <w:numFmt w:val="decimal"/>
      <w:lvlText w:val="%1."/>
      <w:lvlJc w:val="left"/>
      <w:pPr>
        <w:tabs>
          <w:tab w:val="left" w:pos="312"/>
        </w:tabs>
      </w:pPr>
    </w:lvl>
  </w:abstractNum>
  <w:abstractNum w:abstractNumId="9">
    <w:nsid w:val="07C4285E"/>
    <w:multiLevelType w:val="singleLevel"/>
    <w:tmpl w:val="07C4285E"/>
    <w:lvl w:ilvl="0" w:tentative="0">
      <w:start w:val="1"/>
      <w:numFmt w:val="decimal"/>
      <w:lvlText w:val="%1."/>
      <w:lvlJc w:val="left"/>
      <w:pPr>
        <w:tabs>
          <w:tab w:val="left" w:pos="312"/>
        </w:tabs>
      </w:pPr>
    </w:lvl>
  </w:abstractNum>
  <w:abstractNum w:abstractNumId="10">
    <w:nsid w:val="081B2C76"/>
    <w:multiLevelType w:val="multilevel"/>
    <w:tmpl w:val="081B2C76"/>
    <w:lvl w:ilvl="0" w:tentative="0">
      <w:start w:val="1"/>
      <w:numFmt w:val="decimal"/>
      <w:lvlText w:val="%1."/>
      <w:lvlJc w:val="left"/>
      <w:pPr>
        <w:ind w:left="980" w:hanging="420"/>
      </w:pPr>
      <w:rPr>
        <w:rFonts w:hint="default"/>
      </w:rPr>
    </w:lvl>
    <w:lvl w:ilvl="1" w:tentative="0">
      <w:start w:val="1"/>
      <w:numFmt w:val="decimal"/>
      <w:lvlText w:val="%2、"/>
      <w:lvlJc w:val="left"/>
      <w:pPr>
        <w:ind w:left="1700" w:hanging="7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1221FB85"/>
    <w:multiLevelType w:val="singleLevel"/>
    <w:tmpl w:val="1221FB85"/>
    <w:lvl w:ilvl="0" w:tentative="0">
      <w:start w:val="1"/>
      <w:numFmt w:val="decimal"/>
      <w:lvlText w:val="%1."/>
      <w:lvlJc w:val="left"/>
      <w:pPr>
        <w:tabs>
          <w:tab w:val="left" w:pos="312"/>
        </w:tabs>
      </w:pPr>
    </w:lvl>
  </w:abstractNum>
  <w:abstractNum w:abstractNumId="12">
    <w:nsid w:val="185C2D08"/>
    <w:multiLevelType w:val="multilevel"/>
    <w:tmpl w:val="185C2D08"/>
    <w:lvl w:ilvl="0" w:tentative="0">
      <w:start w:val="1"/>
      <w:numFmt w:val="decimal"/>
      <w:suff w:val="nothing"/>
      <w:lvlText w:val="%1."/>
      <w:lvlJc w:val="left"/>
      <w:pPr>
        <w:ind w:left="980" w:hanging="420"/>
      </w:pPr>
      <w:rPr>
        <w:rFonts w:hint="default"/>
      </w:rPr>
    </w:lvl>
    <w:lvl w:ilvl="1" w:tentative="0">
      <w:start w:val="1"/>
      <w:numFmt w:val="decimal"/>
      <w:lvlText w:val="%2、"/>
      <w:lvlJc w:val="left"/>
      <w:pPr>
        <w:ind w:left="1700" w:hanging="720"/>
      </w:pPr>
      <w:rPr>
        <w:rFonts w:hint="default"/>
      </w:rPr>
    </w:lvl>
    <w:lvl w:ilvl="2" w:tentative="0">
      <w:start w:val="1"/>
      <w:numFmt w:val="lowerRoman"/>
      <w:lvlText w:val="%3."/>
      <w:lvlJc w:val="right"/>
      <w:pPr>
        <w:ind w:left="1820" w:hanging="420"/>
      </w:pPr>
      <w:rPr>
        <w:rFonts w:hint="eastAsia"/>
      </w:rPr>
    </w:lvl>
    <w:lvl w:ilvl="3" w:tentative="0">
      <w:start w:val="1"/>
      <w:numFmt w:val="decimal"/>
      <w:lvlText w:val="%4."/>
      <w:lvlJc w:val="left"/>
      <w:pPr>
        <w:ind w:left="2240" w:hanging="420"/>
      </w:pPr>
      <w:rPr>
        <w:rFonts w:hint="eastAsia"/>
      </w:rPr>
    </w:lvl>
    <w:lvl w:ilvl="4" w:tentative="0">
      <w:start w:val="1"/>
      <w:numFmt w:val="lowerLetter"/>
      <w:lvlText w:val="%5)"/>
      <w:lvlJc w:val="left"/>
      <w:pPr>
        <w:ind w:left="2660" w:hanging="420"/>
      </w:pPr>
      <w:rPr>
        <w:rFonts w:hint="eastAsia"/>
      </w:rPr>
    </w:lvl>
    <w:lvl w:ilvl="5" w:tentative="0">
      <w:start w:val="1"/>
      <w:numFmt w:val="lowerRoman"/>
      <w:lvlText w:val="%6."/>
      <w:lvlJc w:val="right"/>
      <w:pPr>
        <w:ind w:left="3080" w:hanging="420"/>
      </w:pPr>
      <w:rPr>
        <w:rFonts w:hint="eastAsia"/>
      </w:rPr>
    </w:lvl>
    <w:lvl w:ilvl="6" w:tentative="0">
      <w:start w:val="1"/>
      <w:numFmt w:val="decimal"/>
      <w:lvlText w:val="%7."/>
      <w:lvlJc w:val="left"/>
      <w:pPr>
        <w:ind w:left="3500" w:hanging="420"/>
      </w:pPr>
      <w:rPr>
        <w:rFonts w:hint="eastAsia"/>
      </w:rPr>
    </w:lvl>
    <w:lvl w:ilvl="7" w:tentative="0">
      <w:start w:val="1"/>
      <w:numFmt w:val="lowerLetter"/>
      <w:lvlText w:val="%8)"/>
      <w:lvlJc w:val="left"/>
      <w:pPr>
        <w:ind w:left="3920" w:hanging="420"/>
      </w:pPr>
      <w:rPr>
        <w:rFonts w:hint="eastAsia"/>
      </w:rPr>
    </w:lvl>
    <w:lvl w:ilvl="8" w:tentative="0">
      <w:start w:val="1"/>
      <w:numFmt w:val="lowerRoman"/>
      <w:lvlText w:val="%9."/>
      <w:lvlJc w:val="right"/>
      <w:pPr>
        <w:ind w:left="4340" w:hanging="420"/>
      </w:pPr>
      <w:rPr>
        <w:rFonts w:hint="eastAsia"/>
      </w:rPr>
    </w:lvl>
  </w:abstractNum>
  <w:abstractNum w:abstractNumId="13">
    <w:nsid w:val="1D6138BB"/>
    <w:multiLevelType w:val="multilevel"/>
    <w:tmpl w:val="1D6138BB"/>
    <w:lvl w:ilvl="0" w:tentative="0">
      <w:start w:val="1"/>
      <w:numFmt w:val="decimal"/>
      <w:lvlText w:val="%1"/>
      <w:lvlJc w:val="center"/>
      <w:pPr>
        <w:tabs>
          <w:tab w:val="left" w:pos="0"/>
        </w:tabs>
        <w:ind w:left="0" w:firstLine="0"/>
      </w:pPr>
      <w:rPr>
        <w:rFonts w:hint="eastAsia" w:ascii="宋体" w:hAnsi="宋体" w:eastAsia="宋体" w:cs="Times New Roman"/>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4">
    <w:nsid w:val="1E081D45"/>
    <w:multiLevelType w:val="singleLevel"/>
    <w:tmpl w:val="1E081D45"/>
    <w:lvl w:ilvl="0" w:tentative="0">
      <w:start w:val="1"/>
      <w:numFmt w:val="decimal"/>
      <w:lvlText w:val="%1."/>
      <w:lvlJc w:val="left"/>
      <w:pPr>
        <w:tabs>
          <w:tab w:val="left" w:pos="312"/>
        </w:tabs>
      </w:pPr>
    </w:lvl>
  </w:abstractNum>
  <w:abstractNum w:abstractNumId="15">
    <w:nsid w:val="282C49B3"/>
    <w:multiLevelType w:val="multilevel"/>
    <w:tmpl w:val="282C49B3"/>
    <w:lvl w:ilvl="0" w:tentative="0">
      <w:start w:val="1"/>
      <w:numFmt w:val="decimalEnclosedCircle"/>
      <w:pStyle w:val="149"/>
      <w:lvlText w:val="%1"/>
      <w:lvlJc w:val="left"/>
      <w:pPr>
        <w:tabs>
          <w:tab w:val="left" w:pos="821"/>
        </w:tabs>
        <w:ind w:left="821" w:hanging="360"/>
      </w:pPr>
      <w:rPr>
        <w:rFonts w:hint="eastAsia"/>
      </w:rPr>
    </w:lvl>
    <w:lvl w:ilvl="1" w:tentative="0">
      <w:start w:val="1"/>
      <w:numFmt w:val="lowerLetter"/>
      <w:lvlText w:val="%2)"/>
      <w:lvlJc w:val="left"/>
      <w:pPr>
        <w:tabs>
          <w:tab w:val="left" w:pos="1301"/>
        </w:tabs>
        <w:ind w:left="1301" w:hanging="420"/>
      </w:pPr>
    </w:lvl>
    <w:lvl w:ilvl="2" w:tentative="0">
      <w:start w:val="1"/>
      <w:numFmt w:val="lowerRoman"/>
      <w:lvlText w:val="%3."/>
      <w:lvlJc w:val="right"/>
      <w:pPr>
        <w:tabs>
          <w:tab w:val="left" w:pos="1721"/>
        </w:tabs>
        <w:ind w:left="1721" w:hanging="420"/>
      </w:pPr>
    </w:lvl>
    <w:lvl w:ilvl="3" w:tentative="0">
      <w:start w:val="1"/>
      <w:numFmt w:val="decimal"/>
      <w:lvlText w:val="%4."/>
      <w:lvlJc w:val="left"/>
      <w:pPr>
        <w:tabs>
          <w:tab w:val="left" w:pos="2141"/>
        </w:tabs>
        <w:ind w:left="2141" w:hanging="420"/>
      </w:pPr>
    </w:lvl>
    <w:lvl w:ilvl="4" w:tentative="0">
      <w:start w:val="1"/>
      <w:numFmt w:val="lowerLetter"/>
      <w:lvlText w:val="%5)"/>
      <w:lvlJc w:val="left"/>
      <w:pPr>
        <w:tabs>
          <w:tab w:val="left" w:pos="2561"/>
        </w:tabs>
        <w:ind w:left="2561" w:hanging="420"/>
      </w:pPr>
    </w:lvl>
    <w:lvl w:ilvl="5" w:tentative="0">
      <w:start w:val="1"/>
      <w:numFmt w:val="lowerRoman"/>
      <w:lvlText w:val="%6."/>
      <w:lvlJc w:val="right"/>
      <w:pPr>
        <w:tabs>
          <w:tab w:val="left" w:pos="2981"/>
        </w:tabs>
        <w:ind w:left="2981" w:hanging="420"/>
      </w:pPr>
    </w:lvl>
    <w:lvl w:ilvl="6" w:tentative="0">
      <w:start w:val="1"/>
      <w:numFmt w:val="decimal"/>
      <w:lvlText w:val="%7."/>
      <w:lvlJc w:val="left"/>
      <w:pPr>
        <w:tabs>
          <w:tab w:val="left" w:pos="3401"/>
        </w:tabs>
        <w:ind w:left="3401" w:hanging="420"/>
      </w:pPr>
    </w:lvl>
    <w:lvl w:ilvl="7" w:tentative="0">
      <w:start w:val="1"/>
      <w:numFmt w:val="lowerLetter"/>
      <w:lvlText w:val="%8)"/>
      <w:lvlJc w:val="left"/>
      <w:pPr>
        <w:tabs>
          <w:tab w:val="left" w:pos="3821"/>
        </w:tabs>
        <w:ind w:left="3821" w:hanging="420"/>
      </w:pPr>
    </w:lvl>
    <w:lvl w:ilvl="8" w:tentative="0">
      <w:start w:val="1"/>
      <w:numFmt w:val="lowerRoman"/>
      <w:lvlText w:val="%9."/>
      <w:lvlJc w:val="right"/>
      <w:pPr>
        <w:tabs>
          <w:tab w:val="left" w:pos="4241"/>
        </w:tabs>
        <w:ind w:left="4241" w:hanging="420"/>
      </w:pPr>
    </w:lvl>
  </w:abstractNum>
  <w:abstractNum w:abstractNumId="16">
    <w:nsid w:val="2D5E356F"/>
    <w:multiLevelType w:val="multilevel"/>
    <w:tmpl w:val="2D5E356F"/>
    <w:lvl w:ilvl="0" w:tentative="0">
      <w:start w:val="1"/>
      <w:numFmt w:val="decimal"/>
      <w:lvlText w:val="%1"/>
      <w:lvlJc w:val="right"/>
      <w:pPr>
        <w:ind w:left="420" w:hanging="132"/>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6E236DB"/>
    <w:multiLevelType w:val="singleLevel"/>
    <w:tmpl w:val="36E236DB"/>
    <w:lvl w:ilvl="0" w:tentative="0">
      <w:start w:val="1"/>
      <w:numFmt w:val="decimal"/>
      <w:lvlText w:val="(%1)"/>
      <w:lvlJc w:val="left"/>
      <w:pPr>
        <w:ind w:left="425" w:hanging="425"/>
      </w:pPr>
      <w:rPr>
        <w:rFonts w:hint="default"/>
      </w:rPr>
    </w:lvl>
  </w:abstractNum>
  <w:abstractNum w:abstractNumId="18">
    <w:nsid w:val="3CAE20DE"/>
    <w:multiLevelType w:val="multilevel"/>
    <w:tmpl w:val="3CAE20DE"/>
    <w:lvl w:ilvl="0" w:tentative="0">
      <w:start w:val="1"/>
      <w:numFmt w:val="decimal"/>
      <w:suff w:val="nothing"/>
      <w:lvlText w:val="%1."/>
      <w:lvlJc w:val="left"/>
      <w:pPr>
        <w:ind w:left="980" w:hanging="420"/>
      </w:pPr>
      <w:rPr>
        <w:rFonts w:hint="default"/>
      </w:rPr>
    </w:lvl>
    <w:lvl w:ilvl="1" w:tentative="0">
      <w:start w:val="1"/>
      <w:numFmt w:val="decimal"/>
      <w:lvlText w:val="%2、"/>
      <w:lvlJc w:val="left"/>
      <w:pPr>
        <w:ind w:left="1700" w:hanging="720"/>
      </w:pPr>
      <w:rPr>
        <w:rFonts w:hint="default"/>
      </w:rPr>
    </w:lvl>
    <w:lvl w:ilvl="2" w:tentative="0">
      <w:start w:val="1"/>
      <w:numFmt w:val="lowerRoman"/>
      <w:lvlText w:val="%3."/>
      <w:lvlJc w:val="right"/>
      <w:pPr>
        <w:ind w:left="1820" w:hanging="420"/>
      </w:pPr>
      <w:rPr>
        <w:rFonts w:hint="eastAsia"/>
      </w:rPr>
    </w:lvl>
    <w:lvl w:ilvl="3" w:tentative="0">
      <w:start w:val="1"/>
      <w:numFmt w:val="decimal"/>
      <w:lvlText w:val="%4."/>
      <w:lvlJc w:val="left"/>
      <w:pPr>
        <w:ind w:left="2240" w:hanging="420"/>
      </w:pPr>
      <w:rPr>
        <w:rFonts w:hint="eastAsia"/>
      </w:rPr>
    </w:lvl>
    <w:lvl w:ilvl="4" w:tentative="0">
      <w:start w:val="1"/>
      <w:numFmt w:val="lowerLetter"/>
      <w:lvlText w:val="%5)"/>
      <w:lvlJc w:val="left"/>
      <w:pPr>
        <w:ind w:left="2660" w:hanging="420"/>
      </w:pPr>
      <w:rPr>
        <w:rFonts w:hint="eastAsia"/>
      </w:rPr>
    </w:lvl>
    <w:lvl w:ilvl="5" w:tentative="0">
      <w:start w:val="1"/>
      <w:numFmt w:val="lowerRoman"/>
      <w:lvlText w:val="%6."/>
      <w:lvlJc w:val="right"/>
      <w:pPr>
        <w:ind w:left="3080" w:hanging="420"/>
      </w:pPr>
      <w:rPr>
        <w:rFonts w:hint="eastAsia"/>
      </w:rPr>
    </w:lvl>
    <w:lvl w:ilvl="6" w:tentative="0">
      <w:start w:val="1"/>
      <w:numFmt w:val="decimal"/>
      <w:lvlText w:val="%7."/>
      <w:lvlJc w:val="left"/>
      <w:pPr>
        <w:ind w:left="3500" w:hanging="420"/>
      </w:pPr>
      <w:rPr>
        <w:rFonts w:hint="eastAsia"/>
      </w:rPr>
    </w:lvl>
    <w:lvl w:ilvl="7" w:tentative="0">
      <w:start w:val="1"/>
      <w:numFmt w:val="lowerLetter"/>
      <w:lvlText w:val="%8)"/>
      <w:lvlJc w:val="left"/>
      <w:pPr>
        <w:ind w:left="3920" w:hanging="420"/>
      </w:pPr>
      <w:rPr>
        <w:rFonts w:hint="eastAsia"/>
      </w:rPr>
    </w:lvl>
    <w:lvl w:ilvl="8" w:tentative="0">
      <w:start w:val="1"/>
      <w:numFmt w:val="lowerRoman"/>
      <w:lvlText w:val="%9."/>
      <w:lvlJc w:val="right"/>
      <w:pPr>
        <w:ind w:left="4340" w:hanging="420"/>
      </w:pPr>
      <w:rPr>
        <w:rFonts w:hint="eastAsia"/>
      </w:rPr>
    </w:lvl>
  </w:abstractNum>
  <w:abstractNum w:abstractNumId="19">
    <w:nsid w:val="49D33686"/>
    <w:multiLevelType w:val="singleLevel"/>
    <w:tmpl w:val="49D33686"/>
    <w:lvl w:ilvl="0" w:tentative="0">
      <w:start w:val="1"/>
      <w:numFmt w:val="decimal"/>
      <w:lvlText w:val="%1."/>
      <w:lvlJc w:val="left"/>
      <w:pPr>
        <w:tabs>
          <w:tab w:val="left" w:pos="312"/>
        </w:tabs>
      </w:pPr>
    </w:lvl>
  </w:abstractNum>
  <w:abstractNum w:abstractNumId="20">
    <w:nsid w:val="4AC8E19C"/>
    <w:multiLevelType w:val="singleLevel"/>
    <w:tmpl w:val="4AC8E19C"/>
    <w:lvl w:ilvl="0" w:tentative="0">
      <w:start w:val="12"/>
      <w:numFmt w:val="upperLetter"/>
      <w:suff w:val="nothing"/>
      <w:lvlText w:val="%1、"/>
      <w:lvlJc w:val="left"/>
    </w:lvl>
  </w:abstractNum>
  <w:abstractNum w:abstractNumId="21">
    <w:nsid w:val="4EE86907"/>
    <w:multiLevelType w:val="singleLevel"/>
    <w:tmpl w:val="4EE86907"/>
    <w:lvl w:ilvl="0" w:tentative="0">
      <w:start w:val="1"/>
      <w:numFmt w:val="decimal"/>
      <w:lvlText w:val="%1."/>
      <w:lvlJc w:val="left"/>
      <w:pPr>
        <w:tabs>
          <w:tab w:val="left" w:pos="312"/>
        </w:tabs>
      </w:pPr>
    </w:lvl>
  </w:abstractNum>
  <w:abstractNum w:abstractNumId="22">
    <w:nsid w:val="5655D843"/>
    <w:multiLevelType w:val="singleLevel"/>
    <w:tmpl w:val="5655D843"/>
    <w:lvl w:ilvl="0" w:tentative="0">
      <w:start w:val="1"/>
      <w:numFmt w:val="decimal"/>
      <w:lvlText w:val="%1."/>
      <w:lvlJc w:val="left"/>
      <w:pPr>
        <w:tabs>
          <w:tab w:val="left" w:pos="312"/>
        </w:tabs>
      </w:pPr>
    </w:lvl>
  </w:abstractNum>
  <w:abstractNum w:abstractNumId="23">
    <w:nsid w:val="578F4838"/>
    <w:multiLevelType w:val="multilevel"/>
    <w:tmpl w:val="578F4838"/>
    <w:lvl w:ilvl="0" w:tentative="0">
      <w:start w:val="1"/>
      <w:numFmt w:val="decimal"/>
      <w:suff w:val="nothing"/>
      <w:lvlText w:val="%1."/>
      <w:lvlJc w:val="left"/>
      <w:pPr>
        <w:ind w:left="737" w:hanging="177"/>
      </w:pPr>
      <w:rPr>
        <w:rFonts w:hint="default"/>
      </w:rPr>
    </w:lvl>
    <w:lvl w:ilvl="1" w:tentative="0">
      <w:start w:val="1"/>
      <w:numFmt w:val="decimal"/>
      <w:lvlText w:val="%2、"/>
      <w:lvlJc w:val="left"/>
      <w:pPr>
        <w:ind w:left="1700" w:hanging="720"/>
      </w:pPr>
      <w:rPr>
        <w:rFonts w:hint="default"/>
      </w:rPr>
    </w:lvl>
    <w:lvl w:ilvl="2" w:tentative="0">
      <w:start w:val="1"/>
      <w:numFmt w:val="lowerRoman"/>
      <w:lvlText w:val="%3."/>
      <w:lvlJc w:val="right"/>
      <w:pPr>
        <w:ind w:left="1820" w:hanging="420"/>
      </w:pPr>
      <w:rPr>
        <w:rFonts w:hint="eastAsia"/>
      </w:rPr>
    </w:lvl>
    <w:lvl w:ilvl="3" w:tentative="0">
      <w:start w:val="1"/>
      <w:numFmt w:val="decimal"/>
      <w:lvlText w:val="%4."/>
      <w:lvlJc w:val="left"/>
      <w:pPr>
        <w:ind w:left="2240" w:hanging="420"/>
      </w:pPr>
      <w:rPr>
        <w:rFonts w:hint="eastAsia"/>
      </w:rPr>
    </w:lvl>
    <w:lvl w:ilvl="4" w:tentative="0">
      <w:start w:val="1"/>
      <w:numFmt w:val="lowerLetter"/>
      <w:lvlText w:val="%5)"/>
      <w:lvlJc w:val="left"/>
      <w:pPr>
        <w:ind w:left="2660" w:hanging="420"/>
      </w:pPr>
      <w:rPr>
        <w:rFonts w:hint="eastAsia"/>
      </w:rPr>
    </w:lvl>
    <w:lvl w:ilvl="5" w:tentative="0">
      <w:start w:val="1"/>
      <w:numFmt w:val="lowerRoman"/>
      <w:lvlText w:val="%6."/>
      <w:lvlJc w:val="right"/>
      <w:pPr>
        <w:ind w:left="3080" w:hanging="420"/>
      </w:pPr>
      <w:rPr>
        <w:rFonts w:hint="eastAsia"/>
      </w:rPr>
    </w:lvl>
    <w:lvl w:ilvl="6" w:tentative="0">
      <w:start w:val="1"/>
      <w:numFmt w:val="decimal"/>
      <w:lvlText w:val="%7."/>
      <w:lvlJc w:val="left"/>
      <w:pPr>
        <w:ind w:left="3500" w:hanging="420"/>
      </w:pPr>
      <w:rPr>
        <w:rFonts w:hint="eastAsia"/>
      </w:rPr>
    </w:lvl>
    <w:lvl w:ilvl="7" w:tentative="0">
      <w:start w:val="1"/>
      <w:numFmt w:val="lowerLetter"/>
      <w:lvlText w:val="%8)"/>
      <w:lvlJc w:val="left"/>
      <w:pPr>
        <w:ind w:left="3920" w:hanging="420"/>
      </w:pPr>
      <w:rPr>
        <w:rFonts w:hint="eastAsia"/>
      </w:rPr>
    </w:lvl>
    <w:lvl w:ilvl="8" w:tentative="0">
      <w:start w:val="1"/>
      <w:numFmt w:val="lowerRoman"/>
      <w:lvlText w:val="%9."/>
      <w:lvlJc w:val="right"/>
      <w:pPr>
        <w:ind w:left="4340" w:hanging="420"/>
      </w:pPr>
      <w:rPr>
        <w:rFonts w:hint="eastAsia"/>
      </w:rPr>
    </w:lvl>
  </w:abstractNum>
  <w:abstractNum w:abstractNumId="24">
    <w:nsid w:val="59BB18A3"/>
    <w:multiLevelType w:val="multilevel"/>
    <w:tmpl w:val="59BB18A3"/>
    <w:lvl w:ilvl="0" w:tentative="0">
      <w:start w:val="1"/>
      <w:numFmt w:val="decimal"/>
      <w:lvlText w:val="%1."/>
      <w:lvlJc w:val="left"/>
      <w:pPr>
        <w:ind w:left="980" w:hanging="420"/>
      </w:pPr>
      <w:rPr>
        <w:rFonts w:hint="default"/>
        <w:color w:val="auto"/>
      </w:rPr>
    </w:lvl>
    <w:lvl w:ilvl="1" w:tentative="0">
      <w:start w:val="1"/>
      <w:numFmt w:val="decimal"/>
      <w:lvlText w:val="%2、"/>
      <w:lvlJc w:val="left"/>
      <w:pPr>
        <w:ind w:left="1700" w:hanging="7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5D5C77E4"/>
    <w:multiLevelType w:val="singleLevel"/>
    <w:tmpl w:val="5D5C77E4"/>
    <w:lvl w:ilvl="0" w:tentative="0">
      <w:start w:val="1"/>
      <w:numFmt w:val="decimal"/>
      <w:lvlText w:val="%1."/>
      <w:lvlJc w:val="left"/>
      <w:pPr>
        <w:tabs>
          <w:tab w:val="left" w:pos="312"/>
        </w:tabs>
      </w:pPr>
    </w:lvl>
  </w:abstractNum>
  <w:abstractNum w:abstractNumId="26">
    <w:nsid w:val="62807783"/>
    <w:multiLevelType w:val="singleLevel"/>
    <w:tmpl w:val="62807783"/>
    <w:lvl w:ilvl="0" w:tentative="0">
      <w:start w:val="1"/>
      <w:numFmt w:val="decimal"/>
      <w:lvlText w:val="%1."/>
      <w:lvlJc w:val="left"/>
      <w:pPr>
        <w:ind w:left="425" w:hanging="425"/>
      </w:pPr>
      <w:rPr>
        <w:rFonts w:hint="default"/>
      </w:rPr>
    </w:lvl>
  </w:abstractNum>
  <w:abstractNum w:abstractNumId="27">
    <w:nsid w:val="635FB315"/>
    <w:multiLevelType w:val="singleLevel"/>
    <w:tmpl w:val="635FB315"/>
    <w:lvl w:ilvl="0" w:tentative="0">
      <w:start w:val="1"/>
      <w:numFmt w:val="decimal"/>
      <w:lvlText w:val="%1."/>
      <w:lvlJc w:val="left"/>
      <w:pPr>
        <w:tabs>
          <w:tab w:val="left" w:pos="312"/>
        </w:tabs>
      </w:pPr>
    </w:lvl>
  </w:abstractNum>
  <w:abstractNum w:abstractNumId="28">
    <w:nsid w:val="67D11B0D"/>
    <w:multiLevelType w:val="multilevel"/>
    <w:tmpl w:val="67D11B0D"/>
    <w:lvl w:ilvl="0" w:tentative="0">
      <w:start w:val="1"/>
      <w:numFmt w:val="decimalEnclosedCircle"/>
      <w:pStyle w:val="129"/>
      <w:lvlText w:val="%1"/>
      <w:lvlJc w:val="left"/>
      <w:pPr>
        <w:tabs>
          <w:tab w:val="left" w:pos="821"/>
        </w:tabs>
        <w:ind w:left="821" w:hanging="360"/>
      </w:pPr>
      <w:rPr>
        <w:rFonts w:hint="eastAsia"/>
      </w:rPr>
    </w:lvl>
    <w:lvl w:ilvl="1" w:tentative="0">
      <w:start w:val="1"/>
      <w:numFmt w:val="lowerLetter"/>
      <w:lvlText w:val="%2)"/>
      <w:lvlJc w:val="left"/>
      <w:pPr>
        <w:tabs>
          <w:tab w:val="left" w:pos="1301"/>
        </w:tabs>
        <w:ind w:left="1301" w:hanging="420"/>
      </w:pPr>
    </w:lvl>
    <w:lvl w:ilvl="2" w:tentative="0">
      <w:start w:val="1"/>
      <w:numFmt w:val="lowerRoman"/>
      <w:lvlText w:val="%3."/>
      <w:lvlJc w:val="right"/>
      <w:pPr>
        <w:tabs>
          <w:tab w:val="left" w:pos="1721"/>
        </w:tabs>
        <w:ind w:left="1721" w:hanging="420"/>
      </w:pPr>
    </w:lvl>
    <w:lvl w:ilvl="3" w:tentative="0">
      <w:start w:val="1"/>
      <w:numFmt w:val="decimal"/>
      <w:lvlText w:val="%4."/>
      <w:lvlJc w:val="left"/>
      <w:pPr>
        <w:tabs>
          <w:tab w:val="left" w:pos="2141"/>
        </w:tabs>
        <w:ind w:left="2141" w:hanging="420"/>
      </w:pPr>
    </w:lvl>
    <w:lvl w:ilvl="4" w:tentative="0">
      <w:start w:val="1"/>
      <w:numFmt w:val="lowerLetter"/>
      <w:lvlText w:val="%5)"/>
      <w:lvlJc w:val="left"/>
      <w:pPr>
        <w:tabs>
          <w:tab w:val="left" w:pos="2561"/>
        </w:tabs>
        <w:ind w:left="2561" w:hanging="420"/>
      </w:pPr>
    </w:lvl>
    <w:lvl w:ilvl="5" w:tentative="0">
      <w:start w:val="1"/>
      <w:numFmt w:val="lowerRoman"/>
      <w:lvlText w:val="%6."/>
      <w:lvlJc w:val="right"/>
      <w:pPr>
        <w:tabs>
          <w:tab w:val="left" w:pos="2981"/>
        </w:tabs>
        <w:ind w:left="2981" w:hanging="420"/>
      </w:pPr>
    </w:lvl>
    <w:lvl w:ilvl="6" w:tentative="0">
      <w:start w:val="1"/>
      <w:numFmt w:val="decimal"/>
      <w:lvlText w:val="%7."/>
      <w:lvlJc w:val="left"/>
      <w:pPr>
        <w:tabs>
          <w:tab w:val="left" w:pos="3401"/>
        </w:tabs>
        <w:ind w:left="3401" w:hanging="420"/>
      </w:pPr>
    </w:lvl>
    <w:lvl w:ilvl="7" w:tentative="0">
      <w:start w:val="1"/>
      <w:numFmt w:val="lowerLetter"/>
      <w:lvlText w:val="%8)"/>
      <w:lvlJc w:val="left"/>
      <w:pPr>
        <w:tabs>
          <w:tab w:val="left" w:pos="3821"/>
        </w:tabs>
        <w:ind w:left="3821" w:hanging="420"/>
      </w:pPr>
    </w:lvl>
    <w:lvl w:ilvl="8" w:tentative="0">
      <w:start w:val="1"/>
      <w:numFmt w:val="lowerRoman"/>
      <w:lvlText w:val="%9."/>
      <w:lvlJc w:val="right"/>
      <w:pPr>
        <w:tabs>
          <w:tab w:val="left" w:pos="4241"/>
        </w:tabs>
        <w:ind w:left="4241" w:hanging="420"/>
      </w:pPr>
    </w:lvl>
  </w:abstractNum>
  <w:abstractNum w:abstractNumId="29">
    <w:nsid w:val="70DF7B76"/>
    <w:multiLevelType w:val="multilevel"/>
    <w:tmpl w:val="70DF7B76"/>
    <w:lvl w:ilvl="0" w:tentative="0">
      <w:start w:val="1"/>
      <w:numFmt w:val="decimal"/>
      <w:lvlText w:val="%1."/>
      <w:lvlJc w:val="left"/>
      <w:pPr>
        <w:ind w:left="980" w:hanging="420"/>
      </w:pPr>
      <w:rPr>
        <w:rFonts w:hint="default"/>
        <w:color w:val="auto"/>
      </w:rPr>
    </w:lvl>
    <w:lvl w:ilvl="1" w:tentative="0">
      <w:start w:val="1"/>
      <w:numFmt w:val="decimal"/>
      <w:lvlText w:val="%2、"/>
      <w:lvlJc w:val="left"/>
      <w:pPr>
        <w:ind w:left="1700" w:hanging="7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0">
    <w:nsid w:val="772B75CC"/>
    <w:multiLevelType w:val="multilevel"/>
    <w:tmpl w:val="772B75CC"/>
    <w:lvl w:ilvl="0" w:tentative="0">
      <w:start w:val="1"/>
      <w:numFmt w:val="decimal"/>
      <w:lvlText w:val="%1"/>
      <w:lvlJc w:val="right"/>
      <w:pPr>
        <w:ind w:left="420" w:hanging="132"/>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7537500"/>
    <w:multiLevelType w:val="multilevel"/>
    <w:tmpl w:val="77537500"/>
    <w:lvl w:ilvl="0" w:tentative="0">
      <w:start w:val="1"/>
      <w:numFmt w:val="decimal"/>
      <w:lvlText w:val="%1"/>
      <w:lvlJc w:val="right"/>
      <w:pPr>
        <w:ind w:left="420" w:hanging="132"/>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7DBED24C"/>
    <w:multiLevelType w:val="singleLevel"/>
    <w:tmpl w:val="7DBED24C"/>
    <w:lvl w:ilvl="0" w:tentative="0">
      <w:start w:val="1"/>
      <w:numFmt w:val="decimal"/>
      <w:suff w:val="nothing"/>
      <w:lvlText w:val="%1)"/>
      <w:lvlJc w:val="left"/>
      <w:pPr>
        <w:ind w:left="0" w:firstLine="0"/>
      </w:pPr>
      <w:rPr>
        <w:rFonts w:hint="default"/>
      </w:rPr>
    </w:lvl>
  </w:abstractNum>
  <w:num w:numId="1">
    <w:abstractNumId w:val="28"/>
  </w:num>
  <w:num w:numId="2">
    <w:abstractNumId w:val="15"/>
  </w:num>
  <w:num w:numId="3">
    <w:abstractNumId w:val="29"/>
  </w:num>
  <w:num w:numId="4">
    <w:abstractNumId w:val="10"/>
  </w:num>
  <w:num w:numId="5">
    <w:abstractNumId w:val="24"/>
  </w:num>
  <w:num w:numId="6">
    <w:abstractNumId w:val="18"/>
  </w:num>
  <w:num w:numId="7">
    <w:abstractNumId w:val="23"/>
  </w:num>
  <w:num w:numId="8">
    <w:abstractNumId w:val="0"/>
  </w:num>
  <w:num w:numId="9">
    <w:abstractNumId w:val="12"/>
  </w:num>
  <w:num w:numId="10">
    <w:abstractNumId w:val="7"/>
  </w:num>
  <w:num w:numId="11">
    <w:abstractNumId w:val="17"/>
  </w:num>
  <w:num w:numId="12">
    <w:abstractNumId w:val="31"/>
  </w:num>
  <w:num w:numId="13">
    <w:abstractNumId w:val="16"/>
  </w:num>
  <w:num w:numId="14">
    <w:abstractNumId w:val="30"/>
  </w:num>
  <w:num w:numId="15">
    <w:abstractNumId w:val="3"/>
  </w:num>
  <w:num w:numId="16">
    <w:abstractNumId w:val="26"/>
  </w:num>
  <w:num w:numId="17">
    <w:abstractNumId w:val="20"/>
  </w:num>
  <w:num w:numId="18">
    <w:abstractNumId w:val="32"/>
  </w:num>
  <w:num w:numId="19">
    <w:abstractNumId w:val="13"/>
  </w:num>
  <w:num w:numId="20">
    <w:abstractNumId w:val="6"/>
  </w:num>
  <w:num w:numId="21">
    <w:abstractNumId w:val="27"/>
  </w:num>
  <w:num w:numId="22">
    <w:abstractNumId w:val="1"/>
  </w:num>
  <w:num w:numId="23">
    <w:abstractNumId w:val="9"/>
  </w:num>
  <w:num w:numId="24">
    <w:abstractNumId w:val="19"/>
  </w:num>
  <w:num w:numId="25">
    <w:abstractNumId w:val="25"/>
  </w:num>
  <w:num w:numId="26">
    <w:abstractNumId w:val="5"/>
  </w:num>
  <w:num w:numId="27">
    <w:abstractNumId w:val="11"/>
  </w:num>
  <w:num w:numId="28">
    <w:abstractNumId w:val="22"/>
  </w:num>
  <w:num w:numId="29">
    <w:abstractNumId w:val="21"/>
  </w:num>
  <w:num w:numId="30">
    <w:abstractNumId w:val="14"/>
  </w:num>
  <w:num w:numId="31">
    <w:abstractNumId w:val="4"/>
  </w:num>
  <w:num w:numId="32">
    <w:abstractNumId w:val="8"/>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gzY2NmNmIzZWI5MTI1MzIyOWQxNjJmYmE3MTlhYmEifQ=="/>
  </w:docVars>
  <w:rsids>
    <w:rsidRoot w:val="00172A27"/>
    <w:rsid w:val="000001C0"/>
    <w:rsid w:val="000002D0"/>
    <w:rsid w:val="0000032A"/>
    <w:rsid w:val="00000390"/>
    <w:rsid w:val="00000392"/>
    <w:rsid w:val="000009B1"/>
    <w:rsid w:val="000020F1"/>
    <w:rsid w:val="00002A96"/>
    <w:rsid w:val="00002EEC"/>
    <w:rsid w:val="00002F23"/>
    <w:rsid w:val="000037D9"/>
    <w:rsid w:val="00003D5F"/>
    <w:rsid w:val="0000405A"/>
    <w:rsid w:val="00004824"/>
    <w:rsid w:val="000054D6"/>
    <w:rsid w:val="000062A3"/>
    <w:rsid w:val="000063CE"/>
    <w:rsid w:val="000066D6"/>
    <w:rsid w:val="00007350"/>
    <w:rsid w:val="000074D3"/>
    <w:rsid w:val="00007ABF"/>
    <w:rsid w:val="00007CA4"/>
    <w:rsid w:val="000100A1"/>
    <w:rsid w:val="00010B3E"/>
    <w:rsid w:val="000112B5"/>
    <w:rsid w:val="00012536"/>
    <w:rsid w:val="00012884"/>
    <w:rsid w:val="0001370A"/>
    <w:rsid w:val="000137DB"/>
    <w:rsid w:val="00013B73"/>
    <w:rsid w:val="00013BCD"/>
    <w:rsid w:val="00013BD3"/>
    <w:rsid w:val="00013F67"/>
    <w:rsid w:val="000140AE"/>
    <w:rsid w:val="00014187"/>
    <w:rsid w:val="000143AE"/>
    <w:rsid w:val="000148D7"/>
    <w:rsid w:val="00014CA5"/>
    <w:rsid w:val="00014CFD"/>
    <w:rsid w:val="00015470"/>
    <w:rsid w:val="0001599A"/>
    <w:rsid w:val="00015CF6"/>
    <w:rsid w:val="00015D27"/>
    <w:rsid w:val="000168E4"/>
    <w:rsid w:val="00016EF4"/>
    <w:rsid w:val="0001746A"/>
    <w:rsid w:val="00017541"/>
    <w:rsid w:val="000179A3"/>
    <w:rsid w:val="00020823"/>
    <w:rsid w:val="0002113E"/>
    <w:rsid w:val="00021E38"/>
    <w:rsid w:val="00022397"/>
    <w:rsid w:val="000225B1"/>
    <w:rsid w:val="00022A70"/>
    <w:rsid w:val="00022E0E"/>
    <w:rsid w:val="00022EFA"/>
    <w:rsid w:val="000235A0"/>
    <w:rsid w:val="0002387A"/>
    <w:rsid w:val="00023D3F"/>
    <w:rsid w:val="00023DBA"/>
    <w:rsid w:val="000244BD"/>
    <w:rsid w:val="000244D3"/>
    <w:rsid w:val="0002476B"/>
    <w:rsid w:val="00024D25"/>
    <w:rsid w:val="000250FA"/>
    <w:rsid w:val="00025306"/>
    <w:rsid w:val="00025D85"/>
    <w:rsid w:val="0002684A"/>
    <w:rsid w:val="000271D6"/>
    <w:rsid w:val="000274F0"/>
    <w:rsid w:val="0002770A"/>
    <w:rsid w:val="000277A2"/>
    <w:rsid w:val="00027B52"/>
    <w:rsid w:val="00027D64"/>
    <w:rsid w:val="00030344"/>
    <w:rsid w:val="0003194A"/>
    <w:rsid w:val="00031EA4"/>
    <w:rsid w:val="00031F73"/>
    <w:rsid w:val="000325D7"/>
    <w:rsid w:val="000325FB"/>
    <w:rsid w:val="00032743"/>
    <w:rsid w:val="00032FF0"/>
    <w:rsid w:val="00032FFD"/>
    <w:rsid w:val="000332E2"/>
    <w:rsid w:val="000341A1"/>
    <w:rsid w:val="00034AE4"/>
    <w:rsid w:val="00034CF3"/>
    <w:rsid w:val="00034FDE"/>
    <w:rsid w:val="000353D1"/>
    <w:rsid w:val="00035A7A"/>
    <w:rsid w:val="000363E5"/>
    <w:rsid w:val="0003654F"/>
    <w:rsid w:val="0003674E"/>
    <w:rsid w:val="000367FD"/>
    <w:rsid w:val="00036D80"/>
    <w:rsid w:val="00036E06"/>
    <w:rsid w:val="00037351"/>
    <w:rsid w:val="000374AF"/>
    <w:rsid w:val="00037D13"/>
    <w:rsid w:val="0004030D"/>
    <w:rsid w:val="00040750"/>
    <w:rsid w:val="00040DD0"/>
    <w:rsid w:val="00040E01"/>
    <w:rsid w:val="000413E4"/>
    <w:rsid w:val="00042249"/>
    <w:rsid w:val="00042510"/>
    <w:rsid w:val="00044127"/>
    <w:rsid w:val="00044687"/>
    <w:rsid w:val="00044C5B"/>
    <w:rsid w:val="00044D35"/>
    <w:rsid w:val="00044EF9"/>
    <w:rsid w:val="000455DB"/>
    <w:rsid w:val="00045653"/>
    <w:rsid w:val="000457AC"/>
    <w:rsid w:val="00046CAE"/>
    <w:rsid w:val="00046F86"/>
    <w:rsid w:val="0004785F"/>
    <w:rsid w:val="00047F10"/>
    <w:rsid w:val="0005009A"/>
    <w:rsid w:val="00050263"/>
    <w:rsid w:val="00050D31"/>
    <w:rsid w:val="00051226"/>
    <w:rsid w:val="00051235"/>
    <w:rsid w:val="00051AFE"/>
    <w:rsid w:val="00051C37"/>
    <w:rsid w:val="00052080"/>
    <w:rsid w:val="00052373"/>
    <w:rsid w:val="00052725"/>
    <w:rsid w:val="00052A96"/>
    <w:rsid w:val="000536C0"/>
    <w:rsid w:val="00053B8A"/>
    <w:rsid w:val="00053FE3"/>
    <w:rsid w:val="000540B6"/>
    <w:rsid w:val="00054A9E"/>
    <w:rsid w:val="00054B46"/>
    <w:rsid w:val="00054F36"/>
    <w:rsid w:val="00055640"/>
    <w:rsid w:val="0005704D"/>
    <w:rsid w:val="00061178"/>
    <w:rsid w:val="00061463"/>
    <w:rsid w:val="00061529"/>
    <w:rsid w:val="000620EA"/>
    <w:rsid w:val="000621DC"/>
    <w:rsid w:val="00062406"/>
    <w:rsid w:val="00062478"/>
    <w:rsid w:val="000627DB"/>
    <w:rsid w:val="00062C17"/>
    <w:rsid w:val="00063029"/>
    <w:rsid w:val="00063B7D"/>
    <w:rsid w:val="00063CDC"/>
    <w:rsid w:val="00064655"/>
    <w:rsid w:val="00064759"/>
    <w:rsid w:val="00064797"/>
    <w:rsid w:val="0006530F"/>
    <w:rsid w:val="000654B0"/>
    <w:rsid w:val="00065736"/>
    <w:rsid w:val="00065F70"/>
    <w:rsid w:val="00066305"/>
    <w:rsid w:val="00066331"/>
    <w:rsid w:val="00067116"/>
    <w:rsid w:val="000671CC"/>
    <w:rsid w:val="000675D8"/>
    <w:rsid w:val="000675D9"/>
    <w:rsid w:val="0006770D"/>
    <w:rsid w:val="0007052B"/>
    <w:rsid w:val="00070C74"/>
    <w:rsid w:val="00070CBF"/>
    <w:rsid w:val="00070ED0"/>
    <w:rsid w:val="00070F7A"/>
    <w:rsid w:val="00070FD9"/>
    <w:rsid w:val="000710B9"/>
    <w:rsid w:val="000711BD"/>
    <w:rsid w:val="00071741"/>
    <w:rsid w:val="000717FD"/>
    <w:rsid w:val="000726D3"/>
    <w:rsid w:val="00072B52"/>
    <w:rsid w:val="00072E37"/>
    <w:rsid w:val="00073076"/>
    <w:rsid w:val="00073195"/>
    <w:rsid w:val="00073931"/>
    <w:rsid w:val="00073D90"/>
    <w:rsid w:val="00074046"/>
    <w:rsid w:val="0007496B"/>
    <w:rsid w:val="00074983"/>
    <w:rsid w:val="00074DA4"/>
    <w:rsid w:val="00074E58"/>
    <w:rsid w:val="00075272"/>
    <w:rsid w:val="00075801"/>
    <w:rsid w:val="00075A2F"/>
    <w:rsid w:val="00075A33"/>
    <w:rsid w:val="00075B28"/>
    <w:rsid w:val="00076441"/>
    <w:rsid w:val="00076B1E"/>
    <w:rsid w:val="000776D5"/>
    <w:rsid w:val="00077EB1"/>
    <w:rsid w:val="000800A7"/>
    <w:rsid w:val="00080156"/>
    <w:rsid w:val="00080D11"/>
    <w:rsid w:val="000815F0"/>
    <w:rsid w:val="00081908"/>
    <w:rsid w:val="0008204D"/>
    <w:rsid w:val="00082316"/>
    <w:rsid w:val="00082480"/>
    <w:rsid w:val="00082A33"/>
    <w:rsid w:val="00082D72"/>
    <w:rsid w:val="0008447C"/>
    <w:rsid w:val="00084EAB"/>
    <w:rsid w:val="00085383"/>
    <w:rsid w:val="0008543C"/>
    <w:rsid w:val="000854B8"/>
    <w:rsid w:val="00085548"/>
    <w:rsid w:val="00085C0D"/>
    <w:rsid w:val="00086355"/>
    <w:rsid w:val="0008644F"/>
    <w:rsid w:val="00086480"/>
    <w:rsid w:val="000866F2"/>
    <w:rsid w:val="00086B4F"/>
    <w:rsid w:val="00087352"/>
    <w:rsid w:val="000877AC"/>
    <w:rsid w:val="00087B63"/>
    <w:rsid w:val="00087D86"/>
    <w:rsid w:val="0009041F"/>
    <w:rsid w:val="00090451"/>
    <w:rsid w:val="00090660"/>
    <w:rsid w:val="00090A9A"/>
    <w:rsid w:val="00090B7A"/>
    <w:rsid w:val="00090DB7"/>
    <w:rsid w:val="00091414"/>
    <w:rsid w:val="00091A9F"/>
    <w:rsid w:val="00092138"/>
    <w:rsid w:val="00094A0B"/>
    <w:rsid w:val="00094E9E"/>
    <w:rsid w:val="00094FBB"/>
    <w:rsid w:val="000951B9"/>
    <w:rsid w:val="00095494"/>
    <w:rsid w:val="0009598B"/>
    <w:rsid w:val="00095A15"/>
    <w:rsid w:val="00095AD4"/>
    <w:rsid w:val="00095F6C"/>
    <w:rsid w:val="00096451"/>
    <w:rsid w:val="000966CF"/>
    <w:rsid w:val="000978B0"/>
    <w:rsid w:val="000A0093"/>
    <w:rsid w:val="000A0BEE"/>
    <w:rsid w:val="000A10FB"/>
    <w:rsid w:val="000A191B"/>
    <w:rsid w:val="000A1AED"/>
    <w:rsid w:val="000A1CDC"/>
    <w:rsid w:val="000A201F"/>
    <w:rsid w:val="000A23E1"/>
    <w:rsid w:val="000A2471"/>
    <w:rsid w:val="000A257B"/>
    <w:rsid w:val="000A27BE"/>
    <w:rsid w:val="000A2889"/>
    <w:rsid w:val="000A2A31"/>
    <w:rsid w:val="000A2FF9"/>
    <w:rsid w:val="000A53EB"/>
    <w:rsid w:val="000A5723"/>
    <w:rsid w:val="000A5AF2"/>
    <w:rsid w:val="000A5DBA"/>
    <w:rsid w:val="000A6AF7"/>
    <w:rsid w:val="000A6E82"/>
    <w:rsid w:val="000A6F56"/>
    <w:rsid w:val="000A705E"/>
    <w:rsid w:val="000A7AC7"/>
    <w:rsid w:val="000B0235"/>
    <w:rsid w:val="000B052F"/>
    <w:rsid w:val="000B063A"/>
    <w:rsid w:val="000B08B2"/>
    <w:rsid w:val="000B1371"/>
    <w:rsid w:val="000B2538"/>
    <w:rsid w:val="000B2B2D"/>
    <w:rsid w:val="000B2BEE"/>
    <w:rsid w:val="000B38DB"/>
    <w:rsid w:val="000B3A4E"/>
    <w:rsid w:val="000B3F45"/>
    <w:rsid w:val="000B401D"/>
    <w:rsid w:val="000B4466"/>
    <w:rsid w:val="000B4D29"/>
    <w:rsid w:val="000B5156"/>
    <w:rsid w:val="000B630F"/>
    <w:rsid w:val="000B725D"/>
    <w:rsid w:val="000B7EC1"/>
    <w:rsid w:val="000B7F76"/>
    <w:rsid w:val="000C08C9"/>
    <w:rsid w:val="000C0A86"/>
    <w:rsid w:val="000C0ED4"/>
    <w:rsid w:val="000C133C"/>
    <w:rsid w:val="000C15C3"/>
    <w:rsid w:val="000C1D8B"/>
    <w:rsid w:val="000C2606"/>
    <w:rsid w:val="000C2993"/>
    <w:rsid w:val="000C2ED7"/>
    <w:rsid w:val="000C2EF0"/>
    <w:rsid w:val="000C303C"/>
    <w:rsid w:val="000C321D"/>
    <w:rsid w:val="000C456B"/>
    <w:rsid w:val="000C46D8"/>
    <w:rsid w:val="000C4E20"/>
    <w:rsid w:val="000C5497"/>
    <w:rsid w:val="000C5B38"/>
    <w:rsid w:val="000C5B3F"/>
    <w:rsid w:val="000C5FD1"/>
    <w:rsid w:val="000C668A"/>
    <w:rsid w:val="000C679D"/>
    <w:rsid w:val="000C710D"/>
    <w:rsid w:val="000C7196"/>
    <w:rsid w:val="000C72DC"/>
    <w:rsid w:val="000C7990"/>
    <w:rsid w:val="000C7F4E"/>
    <w:rsid w:val="000D0ADE"/>
    <w:rsid w:val="000D0BC6"/>
    <w:rsid w:val="000D12F2"/>
    <w:rsid w:val="000D3471"/>
    <w:rsid w:val="000D35B8"/>
    <w:rsid w:val="000D4930"/>
    <w:rsid w:val="000D4C0F"/>
    <w:rsid w:val="000D528B"/>
    <w:rsid w:val="000D55ED"/>
    <w:rsid w:val="000D5861"/>
    <w:rsid w:val="000D58BC"/>
    <w:rsid w:val="000D5925"/>
    <w:rsid w:val="000D64BA"/>
    <w:rsid w:val="000D6543"/>
    <w:rsid w:val="000D6EAC"/>
    <w:rsid w:val="000D774C"/>
    <w:rsid w:val="000D7AA5"/>
    <w:rsid w:val="000E0A26"/>
    <w:rsid w:val="000E0B90"/>
    <w:rsid w:val="000E0ECD"/>
    <w:rsid w:val="000E1217"/>
    <w:rsid w:val="000E12D0"/>
    <w:rsid w:val="000E2066"/>
    <w:rsid w:val="000E2E2C"/>
    <w:rsid w:val="000E352B"/>
    <w:rsid w:val="000E3563"/>
    <w:rsid w:val="000E3773"/>
    <w:rsid w:val="000E4405"/>
    <w:rsid w:val="000E4BFE"/>
    <w:rsid w:val="000E50F0"/>
    <w:rsid w:val="000E5264"/>
    <w:rsid w:val="000E5297"/>
    <w:rsid w:val="000E532F"/>
    <w:rsid w:val="000E55E3"/>
    <w:rsid w:val="000E5661"/>
    <w:rsid w:val="000E572D"/>
    <w:rsid w:val="000E5C15"/>
    <w:rsid w:val="000E679C"/>
    <w:rsid w:val="000E6FE2"/>
    <w:rsid w:val="000E7063"/>
    <w:rsid w:val="000E74E0"/>
    <w:rsid w:val="000E7BB8"/>
    <w:rsid w:val="000E7EDC"/>
    <w:rsid w:val="000F03ED"/>
    <w:rsid w:val="000F08FB"/>
    <w:rsid w:val="000F0951"/>
    <w:rsid w:val="000F0CCD"/>
    <w:rsid w:val="000F104D"/>
    <w:rsid w:val="000F113B"/>
    <w:rsid w:val="000F1972"/>
    <w:rsid w:val="000F242D"/>
    <w:rsid w:val="000F25F4"/>
    <w:rsid w:val="000F26FB"/>
    <w:rsid w:val="000F2AC7"/>
    <w:rsid w:val="000F374E"/>
    <w:rsid w:val="000F3893"/>
    <w:rsid w:val="000F42AC"/>
    <w:rsid w:val="000F43FB"/>
    <w:rsid w:val="000F44CC"/>
    <w:rsid w:val="000F4A23"/>
    <w:rsid w:val="000F5159"/>
    <w:rsid w:val="000F5210"/>
    <w:rsid w:val="000F5581"/>
    <w:rsid w:val="000F660D"/>
    <w:rsid w:val="000F74D0"/>
    <w:rsid w:val="000F77CE"/>
    <w:rsid w:val="000F7CA4"/>
    <w:rsid w:val="000F7E5B"/>
    <w:rsid w:val="000F7FB5"/>
    <w:rsid w:val="0010068B"/>
    <w:rsid w:val="00100D67"/>
    <w:rsid w:val="00101032"/>
    <w:rsid w:val="00101F1A"/>
    <w:rsid w:val="00101F9C"/>
    <w:rsid w:val="001023B7"/>
    <w:rsid w:val="001028AC"/>
    <w:rsid w:val="00103229"/>
    <w:rsid w:val="001033FF"/>
    <w:rsid w:val="001034DE"/>
    <w:rsid w:val="00103EAF"/>
    <w:rsid w:val="001047AA"/>
    <w:rsid w:val="00106058"/>
    <w:rsid w:val="00106BB9"/>
    <w:rsid w:val="00107042"/>
    <w:rsid w:val="001071C4"/>
    <w:rsid w:val="001074EC"/>
    <w:rsid w:val="00107798"/>
    <w:rsid w:val="0011004B"/>
    <w:rsid w:val="001100E9"/>
    <w:rsid w:val="00110458"/>
    <w:rsid w:val="00110666"/>
    <w:rsid w:val="001109B4"/>
    <w:rsid w:val="00110B03"/>
    <w:rsid w:val="0011122F"/>
    <w:rsid w:val="00111901"/>
    <w:rsid w:val="00111D5B"/>
    <w:rsid w:val="00111D8F"/>
    <w:rsid w:val="001120CE"/>
    <w:rsid w:val="0011243B"/>
    <w:rsid w:val="00112450"/>
    <w:rsid w:val="00112AB6"/>
    <w:rsid w:val="00112BBC"/>
    <w:rsid w:val="00112C8D"/>
    <w:rsid w:val="00112ECF"/>
    <w:rsid w:val="00112FCF"/>
    <w:rsid w:val="00113571"/>
    <w:rsid w:val="00113938"/>
    <w:rsid w:val="00114334"/>
    <w:rsid w:val="001143CC"/>
    <w:rsid w:val="001144E6"/>
    <w:rsid w:val="001144F7"/>
    <w:rsid w:val="00114B87"/>
    <w:rsid w:val="00114CDB"/>
    <w:rsid w:val="00114D62"/>
    <w:rsid w:val="00115247"/>
    <w:rsid w:val="00115397"/>
    <w:rsid w:val="00115419"/>
    <w:rsid w:val="00115BB7"/>
    <w:rsid w:val="00115F71"/>
    <w:rsid w:val="001160FC"/>
    <w:rsid w:val="00117610"/>
    <w:rsid w:val="00117CCF"/>
    <w:rsid w:val="001200C3"/>
    <w:rsid w:val="00120E70"/>
    <w:rsid w:val="00120F8D"/>
    <w:rsid w:val="00121796"/>
    <w:rsid w:val="0012186E"/>
    <w:rsid w:val="0012209F"/>
    <w:rsid w:val="001220E3"/>
    <w:rsid w:val="001228E4"/>
    <w:rsid w:val="00122CDD"/>
    <w:rsid w:val="00122F96"/>
    <w:rsid w:val="0012328D"/>
    <w:rsid w:val="0012371D"/>
    <w:rsid w:val="0012381E"/>
    <w:rsid w:val="00123D74"/>
    <w:rsid w:val="00123E4A"/>
    <w:rsid w:val="00123F9A"/>
    <w:rsid w:val="00124212"/>
    <w:rsid w:val="001247D5"/>
    <w:rsid w:val="00124890"/>
    <w:rsid w:val="00124A48"/>
    <w:rsid w:val="00124FFA"/>
    <w:rsid w:val="0012544E"/>
    <w:rsid w:val="00125507"/>
    <w:rsid w:val="00125751"/>
    <w:rsid w:val="00125C38"/>
    <w:rsid w:val="001265FF"/>
    <w:rsid w:val="00126DC7"/>
    <w:rsid w:val="00127352"/>
    <w:rsid w:val="00127649"/>
    <w:rsid w:val="00127A2A"/>
    <w:rsid w:val="00127A9F"/>
    <w:rsid w:val="00127B0F"/>
    <w:rsid w:val="00130A1B"/>
    <w:rsid w:val="00130F36"/>
    <w:rsid w:val="00131ABF"/>
    <w:rsid w:val="00131E54"/>
    <w:rsid w:val="00131F02"/>
    <w:rsid w:val="00132310"/>
    <w:rsid w:val="00133E40"/>
    <w:rsid w:val="00133F81"/>
    <w:rsid w:val="0013448B"/>
    <w:rsid w:val="00134691"/>
    <w:rsid w:val="001346E8"/>
    <w:rsid w:val="0013485C"/>
    <w:rsid w:val="00134924"/>
    <w:rsid w:val="001351F8"/>
    <w:rsid w:val="00135E33"/>
    <w:rsid w:val="001364E8"/>
    <w:rsid w:val="0013657F"/>
    <w:rsid w:val="001368FC"/>
    <w:rsid w:val="00136AB0"/>
    <w:rsid w:val="00136B2D"/>
    <w:rsid w:val="00136B8A"/>
    <w:rsid w:val="001377B0"/>
    <w:rsid w:val="00137813"/>
    <w:rsid w:val="00137854"/>
    <w:rsid w:val="00137BC6"/>
    <w:rsid w:val="00140148"/>
    <w:rsid w:val="0014042A"/>
    <w:rsid w:val="001407AA"/>
    <w:rsid w:val="00140905"/>
    <w:rsid w:val="00140EDD"/>
    <w:rsid w:val="0014181F"/>
    <w:rsid w:val="0014190C"/>
    <w:rsid w:val="001428C5"/>
    <w:rsid w:val="00142952"/>
    <w:rsid w:val="00142B5C"/>
    <w:rsid w:val="00142CC5"/>
    <w:rsid w:val="001436C0"/>
    <w:rsid w:val="001438B7"/>
    <w:rsid w:val="00143F1E"/>
    <w:rsid w:val="00144042"/>
    <w:rsid w:val="001440C7"/>
    <w:rsid w:val="00144425"/>
    <w:rsid w:val="00144FB2"/>
    <w:rsid w:val="00145422"/>
    <w:rsid w:val="00145ED3"/>
    <w:rsid w:val="00145F48"/>
    <w:rsid w:val="00146F4E"/>
    <w:rsid w:val="00147118"/>
    <w:rsid w:val="00147EE1"/>
    <w:rsid w:val="001509BE"/>
    <w:rsid w:val="00150A34"/>
    <w:rsid w:val="00150E2C"/>
    <w:rsid w:val="00151379"/>
    <w:rsid w:val="0015151E"/>
    <w:rsid w:val="00152A37"/>
    <w:rsid w:val="00152EA2"/>
    <w:rsid w:val="001530E2"/>
    <w:rsid w:val="00153D4E"/>
    <w:rsid w:val="00154850"/>
    <w:rsid w:val="00154B6F"/>
    <w:rsid w:val="00154CFA"/>
    <w:rsid w:val="001552DE"/>
    <w:rsid w:val="001553A4"/>
    <w:rsid w:val="00155763"/>
    <w:rsid w:val="00155E81"/>
    <w:rsid w:val="00155FFB"/>
    <w:rsid w:val="001569C6"/>
    <w:rsid w:val="00157049"/>
    <w:rsid w:val="0015730D"/>
    <w:rsid w:val="001573B4"/>
    <w:rsid w:val="00157EBE"/>
    <w:rsid w:val="001609BA"/>
    <w:rsid w:val="001610E8"/>
    <w:rsid w:val="0016240F"/>
    <w:rsid w:val="00162481"/>
    <w:rsid w:val="001624A2"/>
    <w:rsid w:val="001628AC"/>
    <w:rsid w:val="00162D08"/>
    <w:rsid w:val="00163325"/>
    <w:rsid w:val="001633DA"/>
    <w:rsid w:val="00163A4F"/>
    <w:rsid w:val="00163BB2"/>
    <w:rsid w:val="00163C19"/>
    <w:rsid w:val="0016490E"/>
    <w:rsid w:val="00164FF7"/>
    <w:rsid w:val="00165400"/>
    <w:rsid w:val="0016554B"/>
    <w:rsid w:val="00165F5D"/>
    <w:rsid w:val="00166125"/>
    <w:rsid w:val="0016634B"/>
    <w:rsid w:val="001663F3"/>
    <w:rsid w:val="00166E1C"/>
    <w:rsid w:val="00167158"/>
    <w:rsid w:val="00170A1A"/>
    <w:rsid w:val="0017100A"/>
    <w:rsid w:val="00171357"/>
    <w:rsid w:val="00171E95"/>
    <w:rsid w:val="001720F7"/>
    <w:rsid w:val="0017288C"/>
    <w:rsid w:val="001728D5"/>
    <w:rsid w:val="001733C5"/>
    <w:rsid w:val="00173910"/>
    <w:rsid w:val="00173FBC"/>
    <w:rsid w:val="00174529"/>
    <w:rsid w:val="001745DA"/>
    <w:rsid w:val="00175013"/>
    <w:rsid w:val="0017710D"/>
    <w:rsid w:val="001773AC"/>
    <w:rsid w:val="00177CD7"/>
    <w:rsid w:val="00177D43"/>
    <w:rsid w:val="00180066"/>
    <w:rsid w:val="001806BE"/>
    <w:rsid w:val="00181144"/>
    <w:rsid w:val="001813CB"/>
    <w:rsid w:val="00181750"/>
    <w:rsid w:val="00181AB7"/>
    <w:rsid w:val="00181C2B"/>
    <w:rsid w:val="00182699"/>
    <w:rsid w:val="001834D3"/>
    <w:rsid w:val="00183616"/>
    <w:rsid w:val="00183700"/>
    <w:rsid w:val="00183EB9"/>
    <w:rsid w:val="001845BA"/>
    <w:rsid w:val="0018463C"/>
    <w:rsid w:val="00184B68"/>
    <w:rsid w:val="00185590"/>
    <w:rsid w:val="0018618F"/>
    <w:rsid w:val="00186479"/>
    <w:rsid w:val="00186AAE"/>
    <w:rsid w:val="00186B13"/>
    <w:rsid w:val="00186B44"/>
    <w:rsid w:val="00186BB7"/>
    <w:rsid w:val="00186CAF"/>
    <w:rsid w:val="00187A27"/>
    <w:rsid w:val="0019053C"/>
    <w:rsid w:val="001906F9"/>
    <w:rsid w:val="0019095B"/>
    <w:rsid w:val="00190BD9"/>
    <w:rsid w:val="00190BE2"/>
    <w:rsid w:val="00190FEE"/>
    <w:rsid w:val="00191A1A"/>
    <w:rsid w:val="00192514"/>
    <w:rsid w:val="00192F03"/>
    <w:rsid w:val="00193754"/>
    <w:rsid w:val="0019411B"/>
    <w:rsid w:val="00194264"/>
    <w:rsid w:val="001944D1"/>
    <w:rsid w:val="00194C8A"/>
    <w:rsid w:val="001951DC"/>
    <w:rsid w:val="00195408"/>
    <w:rsid w:val="0019556E"/>
    <w:rsid w:val="001956E1"/>
    <w:rsid w:val="00195EB3"/>
    <w:rsid w:val="00196E4C"/>
    <w:rsid w:val="00196FCE"/>
    <w:rsid w:val="001971E5"/>
    <w:rsid w:val="0019760E"/>
    <w:rsid w:val="00197818"/>
    <w:rsid w:val="00197BC2"/>
    <w:rsid w:val="001A001A"/>
    <w:rsid w:val="001A03CC"/>
    <w:rsid w:val="001A042A"/>
    <w:rsid w:val="001A1384"/>
    <w:rsid w:val="001A1A7A"/>
    <w:rsid w:val="001A1DE5"/>
    <w:rsid w:val="001A23FC"/>
    <w:rsid w:val="001A25D0"/>
    <w:rsid w:val="001A2919"/>
    <w:rsid w:val="001A2F16"/>
    <w:rsid w:val="001A3630"/>
    <w:rsid w:val="001A3B54"/>
    <w:rsid w:val="001A3D6F"/>
    <w:rsid w:val="001A3FD7"/>
    <w:rsid w:val="001A4600"/>
    <w:rsid w:val="001A481A"/>
    <w:rsid w:val="001A4EBF"/>
    <w:rsid w:val="001A4FD0"/>
    <w:rsid w:val="001A562D"/>
    <w:rsid w:val="001A5744"/>
    <w:rsid w:val="001A59FD"/>
    <w:rsid w:val="001A6180"/>
    <w:rsid w:val="001A72AB"/>
    <w:rsid w:val="001A72E5"/>
    <w:rsid w:val="001A78F5"/>
    <w:rsid w:val="001A7CBC"/>
    <w:rsid w:val="001A7FA1"/>
    <w:rsid w:val="001B0013"/>
    <w:rsid w:val="001B05D6"/>
    <w:rsid w:val="001B074C"/>
    <w:rsid w:val="001B07D6"/>
    <w:rsid w:val="001B08BF"/>
    <w:rsid w:val="001B1726"/>
    <w:rsid w:val="001B2112"/>
    <w:rsid w:val="001B25C7"/>
    <w:rsid w:val="001B261B"/>
    <w:rsid w:val="001B2EAB"/>
    <w:rsid w:val="001B306E"/>
    <w:rsid w:val="001B3C72"/>
    <w:rsid w:val="001B4298"/>
    <w:rsid w:val="001B4482"/>
    <w:rsid w:val="001B5E9C"/>
    <w:rsid w:val="001B6169"/>
    <w:rsid w:val="001B71AD"/>
    <w:rsid w:val="001B767A"/>
    <w:rsid w:val="001B77DD"/>
    <w:rsid w:val="001C000C"/>
    <w:rsid w:val="001C00CF"/>
    <w:rsid w:val="001C0161"/>
    <w:rsid w:val="001C059F"/>
    <w:rsid w:val="001C0662"/>
    <w:rsid w:val="001C0D86"/>
    <w:rsid w:val="001C12EE"/>
    <w:rsid w:val="001C16DC"/>
    <w:rsid w:val="001C1B30"/>
    <w:rsid w:val="001C1F03"/>
    <w:rsid w:val="001C2255"/>
    <w:rsid w:val="001C2384"/>
    <w:rsid w:val="001C28B4"/>
    <w:rsid w:val="001C2CF8"/>
    <w:rsid w:val="001C3321"/>
    <w:rsid w:val="001C3849"/>
    <w:rsid w:val="001C3BDC"/>
    <w:rsid w:val="001C3C1F"/>
    <w:rsid w:val="001C49A3"/>
    <w:rsid w:val="001C50CB"/>
    <w:rsid w:val="001C5AE1"/>
    <w:rsid w:val="001C5C60"/>
    <w:rsid w:val="001C5F27"/>
    <w:rsid w:val="001C6A7F"/>
    <w:rsid w:val="001C6BBF"/>
    <w:rsid w:val="001C72FD"/>
    <w:rsid w:val="001C7436"/>
    <w:rsid w:val="001C76BF"/>
    <w:rsid w:val="001C7794"/>
    <w:rsid w:val="001C7DB0"/>
    <w:rsid w:val="001D03E0"/>
    <w:rsid w:val="001D0513"/>
    <w:rsid w:val="001D075B"/>
    <w:rsid w:val="001D092D"/>
    <w:rsid w:val="001D0A28"/>
    <w:rsid w:val="001D0F47"/>
    <w:rsid w:val="001D1962"/>
    <w:rsid w:val="001D1BB4"/>
    <w:rsid w:val="001D2A13"/>
    <w:rsid w:val="001D3296"/>
    <w:rsid w:val="001D37AB"/>
    <w:rsid w:val="001D3ABB"/>
    <w:rsid w:val="001D3C97"/>
    <w:rsid w:val="001D3DEA"/>
    <w:rsid w:val="001D41A2"/>
    <w:rsid w:val="001D4D9C"/>
    <w:rsid w:val="001D50F7"/>
    <w:rsid w:val="001D5619"/>
    <w:rsid w:val="001D608A"/>
    <w:rsid w:val="001D6956"/>
    <w:rsid w:val="001D7264"/>
    <w:rsid w:val="001D72E3"/>
    <w:rsid w:val="001D7431"/>
    <w:rsid w:val="001D7BA5"/>
    <w:rsid w:val="001E0061"/>
    <w:rsid w:val="001E00B8"/>
    <w:rsid w:val="001E0390"/>
    <w:rsid w:val="001E0ACD"/>
    <w:rsid w:val="001E1059"/>
    <w:rsid w:val="001E10C5"/>
    <w:rsid w:val="001E16C5"/>
    <w:rsid w:val="001E1BCD"/>
    <w:rsid w:val="001E276A"/>
    <w:rsid w:val="001E2D8B"/>
    <w:rsid w:val="001E331A"/>
    <w:rsid w:val="001E3702"/>
    <w:rsid w:val="001E37CF"/>
    <w:rsid w:val="001E394D"/>
    <w:rsid w:val="001E3F86"/>
    <w:rsid w:val="001E419C"/>
    <w:rsid w:val="001E43F8"/>
    <w:rsid w:val="001E6864"/>
    <w:rsid w:val="001E68A5"/>
    <w:rsid w:val="001E6BF3"/>
    <w:rsid w:val="001E79E9"/>
    <w:rsid w:val="001F0863"/>
    <w:rsid w:val="001F0901"/>
    <w:rsid w:val="001F09CB"/>
    <w:rsid w:val="001F0BD3"/>
    <w:rsid w:val="001F21C4"/>
    <w:rsid w:val="001F229F"/>
    <w:rsid w:val="001F24FB"/>
    <w:rsid w:val="001F28B3"/>
    <w:rsid w:val="001F2D6A"/>
    <w:rsid w:val="001F2E33"/>
    <w:rsid w:val="001F337B"/>
    <w:rsid w:val="001F392B"/>
    <w:rsid w:val="001F4388"/>
    <w:rsid w:val="001F469E"/>
    <w:rsid w:val="001F4DF0"/>
    <w:rsid w:val="001F52AB"/>
    <w:rsid w:val="001F560B"/>
    <w:rsid w:val="001F584E"/>
    <w:rsid w:val="001F5EF6"/>
    <w:rsid w:val="001F649F"/>
    <w:rsid w:val="001F6A5A"/>
    <w:rsid w:val="001F7A59"/>
    <w:rsid w:val="001F7CEF"/>
    <w:rsid w:val="001F7D24"/>
    <w:rsid w:val="00200219"/>
    <w:rsid w:val="00200845"/>
    <w:rsid w:val="00200E17"/>
    <w:rsid w:val="00201263"/>
    <w:rsid w:val="00201304"/>
    <w:rsid w:val="0020191E"/>
    <w:rsid w:val="00201964"/>
    <w:rsid w:val="00201CE1"/>
    <w:rsid w:val="00201FB1"/>
    <w:rsid w:val="00202076"/>
    <w:rsid w:val="00202C09"/>
    <w:rsid w:val="00202C0D"/>
    <w:rsid w:val="0020456A"/>
    <w:rsid w:val="00204A33"/>
    <w:rsid w:val="00204EB0"/>
    <w:rsid w:val="00204F3F"/>
    <w:rsid w:val="002050D6"/>
    <w:rsid w:val="00205C1A"/>
    <w:rsid w:val="00206C83"/>
    <w:rsid w:val="002071E4"/>
    <w:rsid w:val="002074CB"/>
    <w:rsid w:val="0020755E"/>
    <w:rsid w:val="002078A7"/>
    <w:rsid w:val="00210421"/>
    <w:rsid w:val="00210A21"/>
    <w:rsid w:val="00210D55"/>
    <w:rsid w:val="00210ED2"/>
    <w:rsid w:val="0021234B"/>
    <w:rsid w:val="0021256F"/>
    <w:rsid w:val="0021278F"/>
    <w:rsid w:val="00212967"/>
    <w:rsid w:val="00212FE5"/>
    <w:rsid w:val="00213755"/>
    <w:rsid w:val="00214145"/>
    <w:rsid w:val="00214331"/>
    <w:rsid w:val="00214C99"/>
    <w:rsid w:val="00214CDE"/>
    <w:rsid w:val="002154EA"/>
    <w:rsid w:val="00215A0E"/>
    <w:rsid w:val="00215ABE"/>
    <w:rsid w:val="00215C16"/>
    <w:rsid w:val="00215E54"/>
    <w:rsid w:val="002160F0"/>
    <w:rsid w:val="002165A5"/>
    <w:rsid w:val="00216AC0"/>
    <w:rsid w:val="0021700F"/>
    <w:rsid w:val="002171AB"/>
    <w:rsid w:val="002171CA"/>
    <w:rsid w:val="00217F57"/>
    <w:rsid w:val="0022186D"/>
    <w:rsid w:val="00221CE6"/>
    <w:rsid w:val="00221DA1"/>
    <w:rsid w:val="00221EEE"/>
    <w:rsid w:val="00221F28"/>
    <w:rsid w:val="002225A1"/>
    <w:rsid w:val="002228F1"/>
    <w:rsid w:val="00222BA7"/>
    <w:rsid w:val="00222E6C"/>
    <w:rsid w:val="00222F59"/>
    <w:rsid w:val="002237EC"/>
    <w:rsid w:val="002241C0"/>
    <w:rsid w:val="00224439"/>
    <w:rsid w:val="00224708"/>
    <w:rsid w:val="002249EF"/>
    <w:rsid w:val="00224B20"/>
    <w:rsid w:val="00224DB3"/>
    <w:rsid w:val="00224FC7"/>
    <w:rsid w:val="0022577B"/>
    <w:rsid w:val="00225D00"/>
    <w:rsid w:val="002260D6"/>
    <w:rsid w:val="00226190"/>
    <w:rsid w:val="0022668D"/>
    <w:rsid w:val="00226C88"/>
    <w:rsid w:val="00226CB4"/>
    <w:rsid w:val="00227154"/>
    <w:rsid w:val="0022723E"/>
    <w:rsid w:val="00227373"/>
    <w:rsid w:val="00227C8A"/>
    <w:rsid w:val="002309D2"/>
    <w:rsid w:val="00230E34"/>
    <w:rsid w:val="00230F6B"/>
    <w:rsid w:val="00231012"/>
    <w:rsid w:val="0023139B"/>
    <w:rsid w:val="002313B1"/>
    <w:rsid w:val="002315FB"/>
    <w:rsid w:val="00231D4D"/>
    <w:rsid w:val="0023219A"/>
    <w:rsid w:val="002325DB"/>
    <w:rsid w:val="00232AC7"/>
    <w:rsid w:val="00232CD4"/>
    <w:rsid w:val="002332AE"/>
    <w:rsid w:val="00233614"/>
    <w:rsid w:val="0023389B"/>
    <w:rsid w:val="00233A79"/>
    <w:rsid w:val="00233DFE"/>
    <w:rsid w:val="00233F2F"/>
    <w:rsid w:val="00234753"/>
    <w:rsid w:val="002349CA"/>
    <w:rsid w:val="00234D76"/>
    <w:rsid w:val="00235085"/>
    <w:rsid w:val="00235AFA"/>
    <w:rsid w:val="00235CF4"/>
    <w:rsid w:val="0023698F"/>
    <w:rsid w:val="00236B3D"/>
    <w:rsid w:val="00237942"/>
    <w:rsid w:val="00240004"/>
    <w:rsid w:val="0024028F"/>
    <w:rsid w:val="00240589"/>
    <w:rsid w:val="002407A0"/>
    <w:rsid w:val="00240A33"/>
    <w:rsid w:val="00240C9F"/>
    <w:rsid w:val="0024126C"/>
    <w:rsid w:val="0024144B"/>
    <w:rsid w:val="0024192F"/>
    <w:rsid w:val="00241ADF"/>
    <w:rsid w:val="00241F83"/>
    <w:rsid w:val="0024237D"/>
    <w:rsid w:val="0024243B"/>
    <w:rsid w:val="00242A88"/>
    <w:rsid w:val="00243102"/>
    <w:rsid w:val="00243747"/>
    <w:rsid w:val="00243A5F"/>
    <w:rsid w:val="00243D75"/>
    <w:rsid w:val="00244311"/>
    <w:rsid w:val="00244911"/>
    <w:rsid w:val="00246583"/>
    <w:rsid w:val="00247D36"/>
    <w:rsid w:val="00250226"/>
    <w:rsid w:val="0025026D"/>
    <w:rsid w:val="00250366"/>
    <w:rsid w:val="0025045E"/>
    <w:rsid w:val="00250980"/>
    <w:rsid w:val="002522E4"/>
    <w:rsid w:val="00252BB2"/>
    <w:rsid w:val="002530C4"/>
    <w:rsid w:val="002532FF"/>
    <w:rsid w:val="00253EBE"/>
    <w:rsid w:val="00254917"/>
    <w:rsid w:val="00254A10"/>
    <w:rsid w:val="00254BEE"/>
    <w:rsid w:val="00254DA4"/>
    <w:rsid w:val="00254EFA"/>
    <w:rsid w:val="0025569E"/>
    <w:rsid w:val="002557A7"/>
    <w:rsid w:val="002567D0"/>
    <w:rsid w:val="00256B98"/>
    <w:rsid w:val="0025703D"/>
    <w:rsid w:val="002573E9"/>
    <w:rsid w:val="00257421"/>
    <w:rsid w:val="00257898"/>
    <w:rsid w:val="00257A4C"/>
    <w:rsid w:val="00257D53"/>
    <w:rsid w:val="00257E3D"/>
    <w:rsid w:val="002602FA"/>
    <w:rsid w:val="0026032E"/>
    <w:rsid w:val="002603E6"/>
    <w:rsid w:val="00260ACD"/>
    <w:rsid w:val="00260DD2"/>
    <w:rsid w:val="00261D38"/>
    <w:rsid w:val="002628D7"/>
    <w:rsid w:val="00262F12"/>
    <w:rsid w:val="00263286"/>
    <w:rsid w:val="00263789"/>
    <w:rsid w:val="00263864"/>
    <w:rsid w:val="00263DD2"/>
    <w:rsid w:val="002641EE"/>
    <w:rsid w:val="002646AA"/>
    <w:rsid w:val="00264A33"/>
    <w:rsid w:val="00264A87"/>
    <w:rsid w:val="00265928"/>
    <w:rsid w:val="002659B5"/>
    <w:rsid w:val="00265BF5"/>
    <w:rsid w:val="00266B0F"/>
    <w:rsid w:val="002676D0"/>
    <w:rsid w:val="00267978"/>
    <w:rsid w:val="00267A0D"/>
    <w:rsid w:val="0027020A"/>
    <w:rsid w:val="002705EE"/>
    <w:rsid w:val="00270A50"/>
    <w:rsid w:val="0027175C"/>
    <w:rsid w:val="00272013"/>
    <w:rsid w:val="0027236A"/>
    <w:rsid w:val="00272595"/>
    <w:rsid w:val="00272B35"/>
    <w:rsid w:val="00272DD8"/>
    <w:rsid w:val="00272E80"/>
    <w:rsid w:val="00272F5B"/>
    <w:rsid w:val="002734EF"/>
    <w:rsid w:val="00273859"/>
    <w:rsid w:val="00274EB3"/>
    <w:rsid w:val="0027516D"/>
    <w:rsid w:val="00275181"/>
    <w:rsid w:val="0027523D"/>
    <w:rsid w:val="00275374"/>
    <w:rsid w:val="002754C6"/>
    <w:rsid w:val="00275ECB"/>
    <w:rsid w:val="00275F13"/>
    <w:rsid w:val="00276B82"/>
    <w:rsid w:val="002770B4"/>
    <w:rsid w:val="002774DD"/>
    <w:rsid w:val="00277615"/>
    <w:rsid w:val="00277BAE"/>
    <w:rsid w:val="00280154"/>
    <w:rsid w:val="002803CF"/>
    <w:rsid w:val="002803E8"/>
    <w:rsid w:val="002809A0"/>
    <w:rsid w:val="00280C0A"/>
    <w:rsid w:val="00281778"/>
    <w:rsid w:val="0028237F"/>
    <w:rsid w:val="00282389"/>
    <w:rsid w:val="00282F9E"/>
    <w:rsid w:val="002840D4"/>
    <w:rsid w:val="00284A8D"/>
    <w:rsid w:val="00284ECE"/>
    <w:rsid w:val="00284F84"/>
    <w:rsid w:val="002858D7"/>
    <w:rsid w:val="00285C6A"/>
    <w:rsid w:val="002861BC"/>
    <w:rsid w:val="00286B44"/>
    <w:rsid w:val="00287A15"/>
    <w:rsid w:val="00287EEC"/>
    <w:rsid w:val="002900B2"/>
    <w:rsid w:val="0029023E"/>
    <w:rsid w:val="002902D6"/>
    <w:rsid w:val="0029047C"/>
    <w:rsid w:val="002904C0"/>
    <w:rsid w:val="00290651"/>
    <w:rsid w:val="00290951"/>
    <w:rsid w:val="00290E98"/>
    <w:rsid w:val="0029152A"/>
    <w:rsid w:val="002915F9"/>
    <w:rsid w:val="00291875"/>
    <w:rsid w:val="00291EE3"/>
    <w:rsid w:val="00292DB1"/>
    <w:rsid w:val="00293325"/>
    <w:rsid w:val="00293A4F"/>
    <w:rsid w:val="00294222"/>
    <w:rsid w:val="00294BC5"/>
    <w:rsid w:val="00294FBD"/>
    <w:rsid w:val="0029520F"/>
    <w:rsid w:val="0029573A"/>
    <w:rsid w:val="00295E19"/>
    <w:rsid w:val="00295F97"/>
    <w:rsid w:val="0029682E"/>
    <w:rsid w:val="00296B70"/>
    <w:rsid w:val="00296BA3"/>
    <w:rsid w:val="00296F6A"/>
    <w:rsid w:val="0029732F"/>
    <w:rsid w:val="002A0326"/>
    <w:rsid w:val="002A0E2D"/>
    <w:rsid w:val="002A10AD"/>
    <w:rsid w:val="002A13B1"/>
    <w:rsid w:val="002A17A9"/>
    <w:rsid w:val="002A2531"/>
    <w:rsid w:val="002A2E3B"/>
    <w:rsid w:val="002A3448"/>
    <w:rsid w:val="002A3576"/>
    <w:rsid w:val="002A38A2"/>
    <w:rsid w:val="002A3A02"/>
    <w:rsid w:val="002A4148"/>
    <w:rsid w:val="002A43F0"/>
    <w:rsid w:val="002A4562"/>
    <w:rsid w:val="002A4A68"/>
    <w:rsid w:val="002A4C55"/>
    <w:rsid w:val="002A5095"/>
    <w:rsid w:val="002A55EF"/>
    <w:rsid w:val="002A5636"/>
    <w:rsid w:val="002A5793"/>
    <w:rsid w:val="002A5DDE"/>
    <w:rsid w:val="002A5F95"/>
    <w:rsid w:val="002A60BD"/>
    <w:rsid w:val="002A65F8"/>
    <w:rsid w:val="002A682F"/>
    <w:rsid w:val="002A7391"/>
    <w:rsid w:val="002A7742"/>
    <w:rsid w:val="002A7C2C"/>
    <w:rsid w:val="002B0FB2"/>
    <w:rsid w:val="002B1057"/>
    <w:rsid w:val="002B15A1"/>
    <w:rsid w:val="002B18E3"/>
    <w:rsid w:val="002B1A39"/>
    <w:rsid w:val="002B1C5A"/>
    <w:rsid w:val="002B1D44"/>
    <w:rsid w:val="002B278D"/>
    <w:rsid w:val="002B2C2A"/>
    <w:rsid w:val="002B2DED"/>
    <w:rsid w:val="002B3789"/>
    <w:rsid w:val="002B3932"/>
    <w:rsid w:val="002B3EF5"/>
    <w:rsid w:val="002B3F3A"/>
    <w:rsid w:val="002B419E"/>
    <w:rsid w:val="002B420D"/>
    <w:rsid w:val="002B450F"/>
    <w:rsid w:val="002B47EB"/>
    <w:rsid w:val="002B495E"/>
    <w:rsid w:val="002B4A68"/>
    <w:rsid w:val="002B4D93"/>
    <w:rsid w:val="002B540B"/>
    <w:rsid w:val="002B5DEA"/>
    <w:rsid w:val="002B6EDC"/>
    <w:rsid w:val="002B77BC"/>
    <w:rsid w:val="002B79E2"/>
    <w:rsid w:val="002B7B4E"/>
    <w:rsid w:val="002C0491"/>
    <w:rsid w:val="002C04DA"/>
    <w:rsid w:val="002C07BA"/>
    <w:rsid w:val="002C1809"/>
    <w:rsid w:val="002C1865"/>
    <w:rsid w:val="002C1D6E"/>
    <w:rsid w:val="002C210F"/>
    <w:rsid w:val="002C260E"/>
    <w:rsid w:val="002C3B3D"/>
    <w:rsid w:val="002C3FB1"/>
    <w:rsid w:val="002C503D"/>
    <w:rsid w:val="002C58CB"/>
    <w:rsid w:val="002C618A"/>
    <w:rsid w:val="002C62E0"/>
    <w:rsid w:val="002C6309"/>
    <w:rsid w:val="002C6F9D"/>
    <w:rsid w:val="002C7498"/>
    <w:rsid w:val="002C7FF1"/>
    <w:rsid w:val="002D045D"/>
    <w:rsid w:val="002D1375"/>
    <w:rsid w:val="002D150D"/>
    <w:rsid w:val="002D1799"/>
    <w:rsid w:val="002D1D11"/>
    <w:rsid w:val="002D24FF"/>
    <w:rsid w:val="002D2DB0"/>
    <w:rsid w:val="002D31ED"/>
    <w:rsid w:val="002D3BAB"/>
    <w:rsid w:val="002D401C"/>
    <w:rsid w:val="002D4B91"/>
    <w:rsid w:val="002D4E72"/>
    <w:rsid w:val="002D4FF3"/>
    <w:rsid w:val="002D56DD"/>
    <w:rsid w:val="002D6290"/>
    <w:rsid w:val="002D68A8"/>
    <w:rsid w:val="002D73D4"/>
    <w:rsid w:val="002D7447"/>
    <w:rsid w:val="002D75E6"/>
    <w:rsid w:val="002D7FE5"/>
    <w:rsid w:val="002E0E40"/>
    <w:rsid w:val="002E0F9D"/>
    <w:rsid w:val="002E178E"/>
    <w:rsid w:val="002E1D81"/>
    <w:rsid w:val="002E280F"/>
    <w:rsid w:val="002E29C0"/>
    <w:rsid w:val="002E2D30"/>
    <w:rsid w:val="002E2E66"/>
    <w:rsid w:val="002E496E"/>
    <w:rsid w:val="002E59D5"/>
    <w:rsid w:val="002E5AEB"/>
    <w:rsid w:val="002E5B4E"/>
    <w:rsid w:val="002E69EA"/>
    <w:rsid w:val="002E7297"/>
    <w:rsid w:val="002E7716"/>
    <w:rsid w:val="002E77B7"/>
    <w:rsid w:val="002F006F"/>
    <w:rsid w:val="002F0944"/>
    <w:rsid w:val="002F0F74"/>
    <w:rsid w:val="002F1153"/>
    <w:rsid w:val="002F13CA"/>
    <w:rsid w:val="002F199E"/>
    <w:rsid w:val="002F1C90"/>
    <w:rsid w:val="002F26F3"/>
    <w:rsid w:val="002F2A59"/>
    <w:rsid w:val="002F2D00"/>
    <w:rsid w:val="002F312F"/>
    <w:rsid w:val="002F3CBC"/>
    <w:rsid w:val="002F4AE7"/>
    <w:rsid w:val="002F4CAB"/>
    <w:rsid w:val="002F4E20"/>
    <w:rsid w:val="002F4EF1"/>
    <w:rsid w:val="002F57FC"/>
    <w:rsid w:val="002F5BCA"/>
    <w:rsid w:val="002F6BF9"/>
    <w:rsid w:val="002F75B4"/>
    <w:rsid w:val="003005EB"/>
    <w:rsid w:val="00300605"/>
    <w:rsid w:val="00301465"/>
    <w:rsid w:val="00301508"/>
    <w:rsid w:val="00301CE8"/>
    <w:rsid w:val="003028E1"/>
    <w:rsid w:val="00302F21"/>
    <w:rsid w:val="00303125"/>
    <w:rsid w:val="0030326A"/>
    <w:rsid w:val="00303533"/>
    <w:rsid w:val="00303874"/>
    <w:rsid w:val="00304074"/>
    <w:rsid w:val="00304C9C"/>
    <w:rsid w:val="00305632"/>
    <w:rsid w:val="00305F94"/>
    <w:rsid w:val="003063CF"/>
    <w:rsid w:val="003067D2"/>
    <w:rsid w:val="00306B99"/>
    <w:rsid w:val="00306F2E"/>
    <w:rsid w:val="00307E41"/>
    <w:rsid w:val="00310010"/>
    <w:rsid w:val="00310266"/>
    <w:rsid w:val="00311BF0"/>
    <w:rsid w:val="00311E06"/>
    <w:rsid w:val="00311E6A"/>
    <w:rsid w:val="00312808"/>
    <w:rsid w:val="0031282C"/>
    <w:rsid w:val="003128A5"/>
    <w:rsid w:val="003136B5"/>
    <w:rsid w:val="00313B7C"/>
    <w:rsid w:val="00314340"/>
    <w:rsid w:val="003145E7"/>
    <w:rsid w:val="0031475B"/>
    <w:rsid w:val="003148C5"/>
    <w:rsid w:val="00314927"/>
    <w:rsid w:val="003154FB"/>
    <w:rsid w:val="00315535"/>
    <w:rsid w:val="003155FD"/>
    <w:rsid w:val="00315E45"/>
    <w:rsid w:val="0031604C"/>
    <w:rsid w:val="00317A19"/>
    <w:rsid w:val="00317B9F"/>
    <w:rsid w:val="00317DAF"/>
    <w:rsid w:val="003200EA"/>
    <w:rsid w:val="003208B8"/>
    <w:rsid w:val="00320976"/>
    <w:rsid w:val="00320CA7"/>
    <w:rsid w:val="003210F0"/>
    <w:rsid w:val="00321568"/>
    <w:rsid w:val="00321D42"/>
    <w:rsid w:val="00322257"/>
    <w:rsid w:val="00323196"/>
    <w:rsid w:val="0032346A"/>
    <w:rsid w:val="00323540"/>
    <w:rsid w:val="00324106"/>
    <w:rsid w:val="00324273"/>
    <w:rsid w:val="00324318"/>
    <w:rsid w:val="00324324"/>
    <w:rsid w:val="003246E6"/>
    <w:rsid w:val="00324FEB"/>
    <w:rsid w:val="00325D54"/>
    <w:rsid w:val="0032615C"/>
    <w:rsid w:val="00326A54"/>
    <w:rsid w:val="00326CA4"/>
    <w:rsid w:val="00326F2E"/>
    <w:rsid w:val="00327254"/>
    <w:rsid w:val="0032799D"/>
    <w:rsid w:val="00330412"/>
    <w:rsid w:val="00331239"/>
    <w:rsid w:val="00331329"/>
    <w:rsid w:val="00331775"/>
    <w:rsid w:val="00331833"/>
    <w:rsid w:val="003325B2"/>
    <w:rsid w:val="00333076"/>
    <w:rsid w:val="003331BF"/>
    <w:rsid w:val="00333737"/>
    <w:rsid w:val="00333DC6"/>
    <w:rsid w:val="00334165"/>
    <w:rsid w:val="00334AC5"/>
    <w:rsid w:val="00334E09"/>
    <w:rsid w:val="00334E36"/>
    <w:rsid w:val="003351F7"/>
    <w:rsid w:val="00335A26"/>
    <w:rsid w:val="00335CEC"/>
    <w:rsid w:val="00335D20"/>
    <w:rsid w:val="00335F8B"/>
    <w:rsid w:val="00336FC6"/>
    <w:rsid w:val="003374AC"/>
    <w:rsid w:val="003378D9"/>
    <w:rsid w:val="00337C57"/>
    <w:rsid w:val="00337EC5"/>
    <w:rsid w:val="00340329"/>
    <w:rsid w:val="0034034A"/>
    <w:rsid w:val="0034080D"/>
    <w:rsid w:val="00340A2D"/>
    <w:rsid w:val="003414C2"/>
    <w:rsid w:val="003417A8"/>
    <w:rsid w:val="00341AF8"/>
    <w:rsid w:val="00341CB5"/>
    <w:rsid w:val="00342D05"/>
    <w:rsid w:val="003430DB"/>
    <w:rsid w:val="003439E7"/>
    <w:rsid w:val="00343B87"/>
    <w:rsid w:val="00344250"/>
    <w:rsid w:val="003445ED"/>
    <w:rsid w:val="00344AD6"/>
    <w:rsid w:val="0034534C"/>
    <w:rsid w:val="003456DE"/>
    <w:rsid w:val="00345894"/>
    <w:rsid w:val="00345A6B"/>
    <w:rsid w:val="00345F49"/>
    <w:rsid w:val="00346325"/>
    <w:rsid w:val="00346911"/>
    <w:rsid w:val="0034695B"/>
    <w:rsid w:val="00346E94"/>
    <w:rsid w:val="00346FA8"/>
    <w:rsid w:val="00347471"/>
    <w:rsid w:val="00347974"/>
    <w:rsid w:val="00347A78"/>
    <w:rsid w:val="00347E0E"/>
    <w:rsid w:val="0035138D"/>
    <w:rsid w:val="00351838"/>
    <w:rsid w:val="00351CE9"/>
    <w:rsid w:val="003522CD"/>
    <w:rsid w:val="00353930"/>
    <w:rsid w:val="0035408F"/>
    <w:rsid w:val="00354280"/>
    <w:rsid w:val="00355530"/>
    <w:rsid w:val="00356506"/>
    <w:rsid w:val="003565BF"/>
    <w:rsid w:val="00356AAE"/>
    <w:rsid w:val="003578B7"/>
    <w:rsid w:val="00357F04"/>
    <w:rsid w:val="003600E3"/>
    <w:rsid w:val="0036017B"/>
    <w:rsid w:val="003605E5"/>
    <w:rsid w:val="00360C1C"/>
    <w:rsid w:val="00361683"/>
    <w:rsid w:val="00361CF9"/>
    <w:rsid w:val="00361E6A"/>
    <w:rsid w:val="003620C9"/>
    <w:rsid w:val="00362AB5"/>
    <w:rsid w:val="00362C40"/>
    <w:rsid w:val="00364C61"/>
    <w:rsid w:val="00364E45"/>
    <w:rsid w:val="00365243"/>
    <w:rsid w:val="003658B2"/>
    <w:rsid w:val="003660C3"/>
    <w:rsid w:val="00366502"/>
    <w:rsid w:val="00367448"/>
    <w:rsid w:val="003674A3"/>
    <w:rsid w:val="0036760C"/>
    <w:rsid w:val="00367FE0"/>
    <w:rsid w:val="00370844"/>
    <w:rsid w:val="003710E3"/>
    <w:rsid w:val="00371FB8"/>
    <w:rsid w:val="00372232"/>
    <w:rsid w:val="0037326C"/>
    <w:rsid w:val="00373C98"/>
    <w:rsid w:val="00373F67"/>
    <w:rsid w:val="003741F9"/>
    <w:rsid w:val="003745FE"/>
    <w:rsid w:val="00374812"/>
    <w:rsid w:val="003760DB"/>
    <w:rsid w:val="00376598"/>
    <w:rsid w:val="003767F2"/>
    <w:rsid w:val="003777A0"/>
    <w:rsid w:val="003778C0"/>
    <w:rsid w:val="00377940"/>
    <w:rsid w:val="00377F86"/>
    <w:rsid w:val="00380173"/>
    <w:rsid w:val="0038082B"/>
    <w:rsid w:val="003808AB"/>
    <w:rsid w:val="003815E0"/>
    <w:rsid w:val="00381918"/>
    <w:rsid w:val="00381B07"/>
    <w:rsid w:val="00381B8F"/>
    <w:rsid w:val="0038226A"/>
    <w:rsid w:val="00382F4A"/>
    <w:rsid w:val="003833C9"/>
    <w:rsid w:val="00383B64"/>
    <w:rsid w:val="003843EC"/>
    <w:rsid w:val="003843F4"/>
    <w:rsid w:val="0038492A"/>
    <w:rsid w:val="00384B7D"/>
    <w:rsid w:val="0038507B"/>
    <w:rsid w:val="00385318"/>
    <w:rsid w:val="003853C7"/>
    <w:rsid w:val="003858C2"/>
    <w:rsid w:val="00385969"/>
    <w:rsid w:val="00385A1D"/>
    <w:rsid w:val="00385A6F"/>
    <w:rsid w:val="00386191"/>
    <w:rsid w:val="00386A48"/>
    <w:rsid w:val="0038700B"/>
    <w:rsid w:val="003872D2"/>
    <w:rsid w:val="003872E5"/>
    <w:rsid w:val="00387B5D"/>
    <w:rsid w:val="00387DAA"/>
    <w:rsid w:val="00387EFD"/>
    <w:rsid w:val="00390B8B"/>
    <w:rsid w:val="00390D99"/>
    <w:rsid w:val="003922D2"/>
    <w:rsid w:val="00393370"/>
    <w:rsid w:val="003933BC"/>
    <w:rsid w:val="00393E8D"/>
    <w:rsid w:val="00394397"/>
    <w:rsid w:val="00394F8D"/>
    <w:rsid w:val="00395E91"/>
    <w:rsid w:val="00396283"/>
    <w:rsid w:val="00396635"/>
    <w:rsid w:val="00396AD7"/>
    <w:rsid w:val="00396CB2"/>
    <w:rsid w:val="00397ABA"/>
    <w:rsid w:val="003A0651"/>
    <w:rsid w:val="003A0B6E"/>
    <w:rsid w:val="003A0D8B"/>
    <w:rsid w:val="003A0FBF"/>
    <w:rsid w:val="003A1959"/>
    <w:rsid w:val="003A1DB9"/>
    <w:rsid w:val="003A1EF7"/>
    <w:rsid w:val="003A2069"/>
    <w:rsid w:val="003A3A3D"/>
    <w:rsid w:val="003A3FA7"/>
    <w:rsid w:val="003A49CB"/>
    <w:rsid w:val="003A504C"/>
    <w:rsid w:val="003A525A"/>
    <w:rsid w:val="003A52A2"/>
    <w:rsid w:val="003A5B2E"/>
    <w:rsid w:val="003A5CF6"/>
    <w:rsid w:val="003A601A"/>
    <w:rsid w:val="003A6110"/>
    <w:rsid w:val="003A6971"/>
    <w:rsid w:val="003A6D9C"/>
    <w:rsid w:val="003A6E43"/>
    <w:rsid w:val="003A70AE"/>
    <w:rsid w:val="003A78AE"/>
    <w:rsid w:val="003A7B54"/>
    <w:rsid w:val="003A7BC6"/>
    <w:rsid w:val="003B0246"/>
    <w:rsid w:val="003B086C"/>
    <w:rsid w:val="003B0B52"/>
    <w:rsid w:val="003B10A8"/>
    <w:rsid w:val="003B141F"/>
    <w:rsid w:val="003B165B"/>
    <w:rsid w:val="003B203D"/>
    <w:rsid w:val="003B2A88"/>
    <w:rsid w:val="003B2C8B"/>
    <w:rsid w:val="003B3201"/>
    <w:rsid w:val="003B3D52"/>
    <w:rsid w:val="003B417B"/>
    <w:rsid w:val="003B44EA"/>
    <w:rsid w:val="003B4F7B"/>
    <w:rsid w:val="003B522D"/>
    <w:rsid w:val="003B5586"/>
    <w:rsid w:val="003B5A32"/>
    <w:rsid w:val="003B5BD9"/>
    <w:rsid w:val="003B704B"/>
    <w:rsid w:val="003B76BA"/>
    <w:rsid w:val="003B7F09"/>
    <w:rsid w:val="003C04DE"/>
    <w:rsid w:val="003C0B0A"/>
    <w:rsid w:val="003C0E61"/>
    <w:rsid w:val="003C12BC"/>
    <w:rsid w:val="003C13B7"/>
    <w:rsid w:val="003C13C0"/>
    <w:rsid w:val="003C145A"/>
    <w:rsid w:val="003C1B1E"/>
    <w:rsid w:val="003C253B"/>
    <w:rsid w:val="003C2CD9"/>
    <w:rsid w:val="003C2E78"/>
    <w:rsid w:val="003C2FBF"/>
    <w:rsid w:val="003C3273"/>
    <w:rsid w:val="003C3A71"/>
    <w:rsid w:val="003C3ED2"/>
    <w:rsid w:val="003C4497"/>
    <w:rsid w:val="003C4852"/>
    <w:rsid w:val="003C4879"/>
    <w:rsid w:val="003C4E2E"/>
    <w:rsid w:val="003C511B"/>
    <w:rsid w:val="003C5B40"/>
    <w:rsid w:val="003C60A0"/>
    <w:rsid w:val="003C636F"/>
    <w:rsid w:val="003C63C0"/>
    <w:rsid w:val="003C7360"/>
    <w:rsid w:val="003C7901"/>
    <w:rsid w:val="003D050A"/>
    <w:rsid w:val="003D054E"/>
    <w:rsid w:val="003D06C2"/>
    <w:rsid w:val="003D0849"/>
    <w:rsid w:val="003D1872"/>
    <w:rsid w:val="003D1D98"/>
    <w:rsid w:val="003D1DDC"/>
    <w:rsid w:val="003D26FE"/>
    <w:rsid w:val="003D270D"/>
    <w:rsid w:val="003D29DE"/>
    <w:rsid w:val="003D3637"/>
    <w:rsid w:val="003D36AC"/>
    <w:rsid w:val="003D3BA4"/>
    <w:rsid w:val="003D4146"/>
    <w:rsid w:val="003D416D"/>
    <w:rsid w:val="003D4716"/>
    <w:rsid w:val="003D4804"/>
    <w:rsid w:val="003D4853"/>
    <w:rsid w:val="003D499C"/>
    <w:rsid w:val="003D4A1C"/>
    <w:rsid w:val="003D4AA0"/>
    <w:rsid w:val="003D52A8"/>
    <w:rsid w:val="003D5529"/>
    <w:rsid w:val="003D596D"/>
    <w:rsid w:val="003D5F8D"/>
    <w:rsid w:val="003D603E"/>
    <w:rsid w:val="003D6195"/>
    <w:rsid w:val="003D669F"/>
    <w:rsid w:val="003D69C7"/>
    <w:rsid w:val="003D6BD4"/>
    <w:rsid w:val="003D6BF6"/>
    <w:rsid w:val="003D7197"/>
    <w:rsid w:val="003D757E"/>
    <w:rsid w:val="003D7A5B"/>
    <w:rsid w:val="003D7FD4"/>
    <w:rsid w:val="003E0146"/>
    <w:rsid w:val="003E0228"/>
    <w:rsid w:val="003E02E9"/>
    <w:rsid w:val="003E0652"/>
    <w:rsid w:val="003E082D"/>
    <w:rsid w:val="003E09EF"/>
    <w:rsid w:val="003E10C3"/>
    <w:rsid w:val="003E215D"/>
    <w:rsid w:val="003E24EF"/>
    <w:rsid w:val="003E35B8"/>
    <w:rsid w:val="003E51A1"/>
    <w:rsid w:val="003E525A"/>
    <w:rsid w:val="003E585E"/>
    <w:rsid w:val="003E6865"/>
    <w:rsid w:val="003E6BB0"/>
    <w:rsid w:val="003E7300"/>
    <w:rsid w:val="003E740E"/>
    <w:rsid w:val="003E75A4"/>
    <w:rsid w:val="003E7ABA"/>
    <w:rsid w:val="003E7D19"/>
    <w:rsid w:val="003F0657"/>
    <w:rsid w:val="003F06B2"/>
    <w:rsid w:val="003F0A0C"/>
    <w:rsid w:val="003F0E4C"/>
    <w:rsid w:val="003F1208"/>
    <w:rsid w:val="003F1280"/>
    <w:rsid w:val="003F13A2"/>
    <w:rsid w:val="003F1557"/>
    <w:rsid w:val="003F19BE"/>
    <w:rsid w:val="003F1A96"/>
    <w:rsid w:val="003F1CBD"/>
    <w:rsid w:val="003F1D54"/>
    <w:rsid w:val="003F1E2D"/>
    <w:rsid w:val="003F3108"/>
    <w:rsid w:val="003F3363"/>
    <w:rsid w:val="003F34AF"/>
    <w:rsid w:val="003F3B61"/>
    <w:rsid w:val="003F3C73"/>
    <w:rsid w:val="003F3CDC"/>
    <w:rsid w:val="003F3EC2"/>
    <w:rsid w:val="003F4170"/>
    <w:rsid w:val="003F489D"/>
    <w:rsid w:val="003F49B4"/>
    <w:rsid w:val="003F4A4F"/>
    <w:rsid w:val="003F5925"/>
    <w:rsid w:val="003F6291"/>
    <w:rsid w:val="003F6353"/>
    <w:rsid w:val="003F63C4"/>
    <w:rsid w:val="003F6AE2"/>
    <w:rsid w:val="003F6FA3"/>
    <w:rsid w:val="003F7336"/>
    <w:rsid w:val="003F782F"/>
    <w:rsid w:val="003F7B56"/>
    <w:rsid w:val="003F7DFB"/>
    <w:rsid w:val="004001E2"/>
    <w:rsid w:val="00400B1D"/>
    <w:rsid w:val="00400B57"/>
    <w:rsid w:val="00400B61"/>
    <w:rsid w:val="00402582"/>
    <w:rsid w:val="00402672"/>
    <w:rsid w:val="00402FDC"/>
    <w:rsid w:val="004030DD"/>
    <w:rsid w:val="0040359A"/>
    <w:rsid w:val="00403686"/>
    <w:rsid w:val="00404604"/>
    <w:rsid w:val="00404E26"/>
    <w:rsid w:val="00404F7C"/>
    <w:rsid w:val="00405131"/>
    <w:rsid w:val="0040645D"/>
    <w:rsid w:val="00406488"/>
    <w:rsid w:val="004076C5"/>
    <w:rsid w:val="00407BE2"/>
    <w:rsid w:val="00410855"/>
    <w:rsid w:val="00410A11"/>
    <w:rsid w:val="00410FA7"/>
    <w:rsid w:val="004120E7"/>
    <w:rsid w:val="00412169"/>
    <w:rsid w:val="004121EB"/>
    <w:rsid w:val="004127D9"/>
    <w:rsid w:val="00412894"/>
    <w:rsid w:val="004129AD"/>
    <w:rsid w:val="00412AC3"/>
    <w:rsid w:val="004133F9"/>
    <w:rsid w:val="00413EFE"/>
    <w:rsid w:val="00414514"/>
    <w:rsid w:val="00414B1F"/>
    <w:rsid w:val="00414B5B"/>
    <w:rsid w:val="004153CD"/>
    <w:rsid w:val="004157F6"/>
    <w:rsid w:val="004158F5"/>
    <w:rsid w:val="004161BD"/>
    <w:rsid w:val="004164A6"/>
    <w:rsid w:val="004169A4"/>
    <w:rsid w:val="00416CA4"/>
    <w:rsid w:val="00416E04"/>
    <w:rsid w:val="004173CF"/>
    <w:rsid w:val="004175B7"/>
    <w:rsid w:val="004179E6"/>
    <w:rsid w:val="00417C16"/>
    <w:rsid w:val="00420668"/>
    <w:rsid w:val="0042068D"/>
    <w:rsid w:val="004209C2"/>
    <w:rsid w:val="00420AEC"/>
    <w:rsid w:val="0042129C"/>
    <w:rsid w:val="00421475"/>
    <w:rsid w:val="0042198D"/>
    <w:rsid w:val="004219E6"/>
    <w:rsid w:val="00423934"/>
    <w:rsid w:val="00423ACA"/>
    <w:rsid w:val="00423C4E"/>
    <w:rsid w:val="00423D7B"/>
    <w:rsid w:val="00423D85"/>
    <w:rsid w:val="00424198"/>
    <w:rsid w:val="00424389"/>
    <w:rsid w:val="00424DC6"/>
    <w:rsid w:val="0042511F"/>
    <w:rsid w:val="0042529B"/>
    <w:rsid w:val="00425575"/>
    <w:rsid w:val="00425707"/>
    <w:rsid w:val="004258C5"/>
    <w:rsid w:val="00425DE6"/>
    <w:rsid w:val="00425E29"/>
    <w:rsid w:val="00426250"/>
    <w:rsid w:val="004269BB"/>
    <w:rsid w:val="00426F5F"/>
    <w:rsid w:val="00427385"/>
    <w:rsid w:val="004273E5"/>
    <w:rsid w:val="0042790E"/>
    <w:rsid w:val="00427A54"/>
    <w:rsid w:val="00427E80"/>
    <w:rsid w:val="00430382"/>
    <w:rsid w:val="004315EB"/>
    <w:rsid w:val="004316E3"/>
    <w:rsid w:val="00431BFA"/>
    <w:rsid w:val="00431C31"/>
    <w:rsid w:val="00432085"/>
    <w:rsid w:val="00432468"/>
    <w:rsid w:val="00433231"/>
    <w:rsid w:val="004338D0"/>
    <w:rsid w:val="00433931"/>
    <w:rsid w:val="004339B1"/>
    <w:rsid w:val="00433A55"/>
    <w:rsid w:val="00433B65"/>
    <w:rsid w:val="00433E16"/>
    <w:rsid w:val="00434E61"/>
    <w:rsid w:val="00435D60"/>
    <w:rsid w:val="00435DEC"/>
    <w:rsid w:val="0043690F"/>
    <w:rsid w:val="00436A3B"/>
    <w:rsid w:val="00436AE1"/>
    <w:rsid w:val="0043713B"/>
    <w:rsid w:val="00437887"/>
    <w:rsid w:val="00437BBF"/>
    <w:rsid w:val="00437D24"/>
    <w:rsid w:val="00437DA3"/>
    <w:rsid w:val="00440426"/>
    <w:rsid w:val="00440765"/>
    <w:rsid w:val="00441444"/>
    <w:rsid w:val="004417FD"/>
    <w:rsid w:val="004426E3"/>
    <w:rsid w:val="004429C3"/>
    <w:rsid w:val="00442A78"/>
    <w:rsid w:val="00442DD7"/>
    <w:rsid w:val="004433D3"/>
    <w:rsid w:val="0044402F"/>
    <w:rsid w:val="00444CF2"/>
    <w:rsid w:val="0044534A"/>
    <w:rsid w:val="00445648"/>
    <w:rsid w:val="0044603E"/>
    <w:rsid w:val="004461B0"/>
    <w:rsid w:val="004466BA"/>
    <w:rsid w:val="00446DCB"/>
    <w:rsid w:val="00447DBA"/>
    <w:rsid w:val="00450123"/>
    <w:rsid w:val="0045041F"/>
    <w:rsid w:val="00450AFB"/>
    <w:rsid w:val="004514A1"/>
    <w:rsid w:val="00452822"/>
    <w:rsid w:val="00452D45"/>
    <w:rsid w:val="00453238"/>
    <w:rsid w:val="00453546"/>
    <w:rsid w:val="00453895"/>
    <w:rsid w:val="004543BB"/>
    <w:rsid w:val="00454922"/>
    <w:rsid w:val="00454C57"/>
    <w:rsid w:val="00455834"/>
    <w:rsid w:val="00455EFE"/>
    <w:rsid w:val="0045694F"/>
    <w:rsid w:val="00456FA9"/>
    <w:rsid w:val="00457021"/>
    <w:rsid w:val="004574C9"/>
    <w:rsid w:val="004606FF"/>
    <w:rsid w:val="004607EC"/>
    <w:rsid w:val="00460B86"/>
    <w:rsid w:val="00460E30"/>
    <w:rsid w:val="0046106B"/>
    <w:rsid w:val="00461112"/>
    <w:rsid w:val="00461275"/>
    <w:rsid w:val="004612AB"/>
    <w:rsid w:val="00461D76"/>
    <w:rsid w:val="00461E02"/>
    <w:rsid w:val="00461F21"/>
    <w:rsid w:val="0046227C"/>
    <w:rsid w:val="004629B0"/>
    <w:rsid w:val="00462BA7"/>
    <w:rsid w:val="00462CD0"/>
    <w:rsid w:val="00463918"/>
    <w:rsid w:val="00463A2C"/>
    <w:rsid w:val="00463AE0"/>
    <w:rsid w:val="00463CD9"/>
    <w:rsid w:val="0046440F"/>
    <w:rsid w:val="0046501F"/>
    <w:rsid w:val="004667E7"/>
    <w:rsid w:val="00467163"/>
    <w:rsid w:val="00467449"/>
    <w:rsid w:val="004676B7"/>
    <w:rsid w:val="004677E9"/>
    <w:rsid w:val="00467875"/>
    <w:rsid w:val="00467EC2"/>
    <w:rsid w:val="004701A2"/>
    <w:rsid w:val="004705C0"/>
    <w:rsid w:val="00471005"/>
    <w:rsid w:val="004710AE"/>
    <w:rsid w:val="0047120B"/>
    <w:rsid w:val="00471338"/>
    <w:rsid w:val="004715C5"/>
    <w:rsid w:val="0047173B"/>
    <w:rsid w:val="004719F7"/>
    <w:rsid w:val="00471E74"/>
    <w:rsid w:val="004721FF"/>
    <w:rsid w:val="00472C67"/>
    <w:rsid w:val="00472F5B"/>
    <w:rsid w:val="004734F3"/>
    <w:rsid w:val="00473B5A"/>
    <w:rsid w:val="00473FFC"/>
    <w:rsid w:val="00474D46"/>
    <w:rsid w:val="004755A2"/>
    <w:rsid w:val="0047575A"/>
    <w:rsid w:val="00475A72"/>
    <w:rsid w:val="00475FDC"/>
    <w:rsid w:val="00476416"/>
    <w:rsid w:val="00476422"/>
    <w:rsid w:val="00476ACE"/>
    <w:rsid w:val="00476E68"/>
    <w:rsid w:val="00476EBB"/>
    <w:rsid w:val="004771F1"/>
    <w:rsid w:val="004776D4"/>
    <w:rsid w:val="00477F49"/>
    <w:rsid w:val="00480109"/>
    <w:rsid w:val="004808AC"/>
    <w:rsid w:val="00480AB2"/>
    <w:rsid w:val="0048106B"/>
    <w:rsid w:val="004813FA"/>
    <w:rsid w:val="00481C8A"/>
    <w:rsid w:val="00481CD2"/>
    <w:rsid w:val="00481D3D"/>
    <w:rsid w:val="00481ED4"/>
    <w:rsid w:val="00481F5E"/>
    <w:rsid w:val="004822A5"/>
    <w:rsid w:val="0048251C"/>
    <w:rsid w:val="00482B46"/>
    <w:rsid w:val="00482CC9"/>
    <w:rsid w:val="00482DB2"/>
    <w:rsid w:val="00483624"/>
    <w:rsid w:val="0048370A"/>
    <w:rsid w:val="00483C79"/>
    <w:rsid w:val="004844BC"/>
    <w:rsid w:val="004845BB"/>
    <w:rsid w:val="00484815"/>
    <w:rsid w:val="00484BB9"/>
    <w:rsid w:val="00485581"/>
    <w:rsid w:val="00485B72"/>
    <w:rsid w:val="00485EB1"/>
    <w:rsid w:val="0048620A"/>
    <w:rsid w:val="0048674C"/>
    <w:rsid w:val="00486D82"/>
    <w:rsid w:val="00486D8B"/>
    <w:rsid w:val="00486FE1"/>
    <w:rsid w:val="004879C7"/>
    <w:rsid w:val="00490D5B"/>
    <w:rsid w:val="004911B4"/>
    <w:rsid w:val="00491A5E"/>
    <w:rsid w:val="00491B0F"/>
    <w:rsid w:val="00492FA1"/>
    <w:rsid w:val="004936DB"/>
    <w:rsid w:val="00494B0D"/>
    <w:rsid w:val="0049565D"/>
    <w:rsid w:val="004958E6"/>
    <w:rsid w:val="00495948"/>
    <w:rsid w:val="00496A05"/>
    <w:rsid w:val="00496D84"/>
    <w:rsid w:val="00496D9B"/>
    <w:rsid w:val="00496E3E"/>
    <w:rsid w:val="00497463"/>
    <w:rsid w:val="00497889"/>
    <w:rsid w:val="004A0277"/>
    <w:rsid w:val="004A0850"/>
    <w:rsid w:val="004A0A49"/>
    <w:rsid w:val="004A25CD"/>
    <w:rsid w:val="004A2A16"/>
    <w:rsid w:val="004A2D9B"/>
    <w:rsid w:val="004A3627"/>
    <w:rsid w:val="004A39E6"/>
    <w:rsid w:val="004A3FDD"/>
    <w:rsid w:val="004A4066"/>
    <w:rsid w:val="004A4191"/>
    <w:rsid w:val="004A4BB1"/>
    <w:rsid w:val="004A581C"/>
    <w:rsid w:val="004A6708"/>
    <w:rsid w:val="004A77A6"/>
    <w:rsid w:val="004B0BDD"/>
    <w:rsid w:val="004B13F1"/>
    <w:rsid w:val="004B189C"/>
    <w:rsid w:val="004B25F9"/>
    <w:rsid w:val="004B29F2"/>
    <w:rsid w:val="004B2C6E"/>
    <w:rsid w:val="004B2C87"/>
    <w:rsid w:val="004B3760"/>
    <w:rsid w:val="004B3ED9"/>
    <w:rsid w:val="004B4422"/>
    <w:rsid w:val="004B4498"/>
    <w:rsid w:val="004B4F47"/>
    <w:rsid w:val="004B589B"/>
    <w:rsid w:val="004B5DB4"/>
    <w:rsid w:val="004B601A"/>
    <w:rsid w:val="004B6142"/>
    <w:rsid w:val="004B6563"/>
    <w:rsid w:val="004B6DE6"/>
    <w:rsid w:val="004B7425"/>
    <w:rsid w:val="004B76BE"/>
    <w:rsid w:val="004B79E1"/>
    <w:rsid w:val="004B7A32"/>
    <w:rsid w:val="004C07B2"/>
    <w:rsid w:val="004C09F8"/>
    <w:rsid w:val="004C0A70"/>
    <w:rsid w:val="004C10B3"/>
    <w:rsid w:val="004C1336"/>
    <w:rsid w:val="004C1BB4"/>
    <w:rsid w:val="004C1EE1"/>
    <w:rsid w:val="004C1F58"/>
    <w:rsid w:val="004C2151"/>
    <w:rsid w:val="004C283C"/>
    <w:rsid w:val="004C2CE1"/>
    <w:rsid w:val="004C3B2B"/>
    <w:rsid w:val="004C3C78"/>
    <w:rsid w:val="004C3FA9"/>
    <w:rsid w:val="004C402A"/>
    <w:rsid w:val="004C452A"/>
    <w:rsid w:val="004C4787"/>
    <w:rsid w:val="004C4843"/>
    <w:rsid w:val="004C4AAF"/>
    <w:rsid w:val="004C4B6A"/>
    <w:rsid w:val="004C4F9A"/>
    <w:rsid w:val="004C52F3"/>
    <w:rsid w:val="004C54E2"/>
    <w:rsid w:val="004C57D1"/>
    <w:rsid w:val="004C5800"/>
    <w:rsid w:val="004C5C4F"/>
    <w:rsid w:val="004C5D79"/>
    <w:rsid w:val="004C5D87"/>
    <w:rsid w:val="004C6344"/>
    <w:rsid w:val="004C642B"/>
    <w:rsid w:val="004C6ADF"/>
    <w:rsid w:val="004C76CE"/>
    <w:rsid w:val="004C7A3D"/>
    <w:rsid w:val="004C7B96"/>
    <w:rsid w:val="004C7E10"/>
    <w:rsid w:val="004D028E"/>
    <w:rsid w:val="004D037A"/>
    <w:rsid w:val="004D03DD"/>
    <w:rsid w:val="004D076F"/>
    <w:rsid w:val="004D1A85"/>
    <w:rsid w:val="004D23D2"/>
    <w:rsid w:val="004D4ADA"/>
    <w:rsid w:val="004D4D9B"/>
    <w:rsid w:val="004D500C"/>
    <w:rsid w:val="004D567D"/>
    <w:rsid w:val="004D5695"/>
    <w:rsid w:val="004D5B93"/>
    <w:rsid w:val="004D5DC1"/>
    <w:rsid w:val="004D5EB5"/>
    <w:rsid w:val="004D61B7"/>
    <w:rsid w:val="004D71A7"/>
    <w:rsid w:val="004D74E4"/>
    <w:rsid w:val="004D7B70"/>
    <w:rsid w:val="004E0211"/>
    <w:rsid w:val="004E0AF2"/>
    <w:rsid w:val="004E0FBC"/>
    <w:rsid w:val="004E114E"/>
    <w:rsid w:val="004E23DE"/>
    <w:rsid w:val="004E2A2A"/>
    <w:rsid w:val="004E2C6E"/>
    <w:rsid w:val="004E30C7"/>
    <w:rsid w:val="004E3446"/>
    <w:rsid w:val="004E352E"/>
    <w:rsid w:val="004E35EB"/>
    <w:rsid w:val="004E3621"/>
    <w:rsid w:val="004E4321"/>
    <w:rsid w:val="004E4348"/>
    <w:rsid w:val="004E44F4"/>
    <w:rsid w:val="004E5883"/>
    <w:rsid w:val="004E5B31"/>
    <w:rsid w:val="004E611C"/>
    <w:rsid w:val="004E6E94"/>
    <w:rsid w:val="004E6F29"/>
    <w:rsid w:val="004E6F38"/>
    <w:rsid w:val="004E738D"/>
    <w:rsid w:val="004E759F"/>
    <w:rsid w:val="004E7F50"/>
    <w:rsid w:val="004F0058"/>
    <w:rsid w:val="004F0E81"/>
    <w:rsid w:val="004F159B"/>
    <w:rsid w:val="004F17E5"/>
    <w:rsid w:val="004F1A7D"/>
    <w:rsid w:val="004F3093"/>
    <w:rsid w:val="004F39EA"/>
    <w:rsid w:val="004F3C89"/>
    <w:rsid w:val="004F3CFE"/>
    <w:rsid w:val="004F3ED3"/>
    <w:rsid w:val="004F498D"/>
    <w:rsid w:val="004F4A81"/>
    <w:rsid w:val="004F4CED"/>
    <w:rsid w:val="004F4DD3"/>
    <w:rsid w:val="004F595C"/>
    <w:rsid w:val="004F5B34"/>
    <w:rsid w:val="004F5EDB"/>
    <w:rsid w:val="004F5FFD"/>
    <w:rsid w:val="004F6584"/>
    <w:rsid w:val="004F67D8"/>
    <w:rsid w:val="004F6ABE"/>
    <w:rsid w:val="004F6CA6"/>
    <w:rsid w:val="004F75DA"/>
    <w:rsid w:val="00500062"/>
    <w:rsid w:val="00500255"/>
    <w:rsid w:val="0050064C"/>
    <w:rsid w:val="005008D5"/>
    <w:rsid w:val="0050099B"/>
    <w:rsid w:val="00500A1E"/>
    <w:rsid w:val="0050148B"/>
    <w:rsid w:val="005020B7"/>
    <w:rsid w:val="00502670"/>
    <w:rsid w:val="005033BD"/>
    <w:rsid w:val="00504320"/>
    <w:rsid w:val="00504605"/>
    <w:rsid w:val="00504708"/>
    <w:rsid w:val="005048C5"/>
    <w:rsid w:val="00504A69"/>
    <w:rsid w:val="005055E6"/>
    <w:rsid w:val="00505A7B"/>
    <w:rsid w:val="00505F20"/>
    <w:rsid w:val="00506122"/>
    <w:rsid w:val="00506CD3"/>
    <w:rsid w:val="00506D78"/>
    <w:rsid w:val="005074DA"/>
    <w:rsid w:val="00507941"/>
    <w:rsid w:val="00507BCB"/>
    <w:rsid w:val="00507CEA"/>
    <w:rsid w:val="00507FF3"/>
    <w:rsid w:val="00510043"/>
    <w:rsid w:val="0051012A"/>
    <w:rsid w:val="005108ED"/>
    <w:rsid w:val="00510FD3"/>
    <w:rsid w:val="00511CC7"/>
    <w:rsid w:val="0051243D"/>
    <w:rsid w:val="005124B1"/>
    <w:rsid w:val="00512DEE"/>
    <w:rsid w:val="00512E66"/>
    <w:rsid w:val="0051321B"/>
    <w:rsid w:val="0051377B"/>
    <w:rsid w:val="005139ED"/>
    <w:rsid w:val="00513E73"/>
    <w:rsid w:val="00514F67"/>
    <w:rsid w:val="005151A6"/>
    <w:rsid w:val="005157B9"/>
    <w:rsid w:val="00515868"/>
    <w:rsid w:val="00516458"/>
    <w:rsid w:val="00516625"/>
    <w:rsid w:val="00516CBD"/>
    <w:rsid w:val="00517231"/>
    <w:rsid w:val="00517519"/>
    <w:rsid w:val="00517B1E"/>
    <w:rsid w:val="005201D7"/>
    <w:rsid w:val="00520256"/>
    <w:rsid w:val="0052042D"/>
    <w:rsid w:val="00520CB3"/>
    <w:rsid w:val="00520D9B"/>
    <w:rsid w:val="00520FB8"/>
    <w:rsid w:val="00521291"/>
    <w:rsid w:val="00521748"/>
    <w:rsid w:val="00521AEF"/>
    <w:rsid w:val="00521ED7"/>
    <w:rsid w:val="0052233C"/>
    <w:rsid w:val="005225F7"/>
    <w:rsid w:val="005225F9"/>
    <w:rsid w:val="00522E81"/>
    <w:rsid w:val="0052344B"/>
    <w:rsid w:val="005239BC"/>
    <w:rsid w:val="00523DAB"/>
    <w:rsid w:val="0052444F"/>
    <w:rsid w:val="005246C6"/>
    <w:rsid w:val="00524E53"/>
    <w:rsid w:val="00525B7F"/>
    <w:rsid w:val="00526BF0"/>
    <w:rsid w:val="00526E2C"/>
    <w:rsid w:val="00527249"/>
    <w:rsid w:val="0052743A"/>
    <w:rsid w:val="0053200B"/>
    <w:rsid w:val="005322D4"/>
    <w:rsid w:val="0053237F"/>
    <w:rsid w:val="00533113"/>
    <w:rsid w:val="00533793"/>
    <w:rsid w:val="00533A00"/>
    <w:rsid w:val="00534405"/>
    <w:rsid w:val="00534588"/>
    <w:rsid w:val="00534A57"/>
    <w:rsid w:val="00534E8E"/>
    <w:rsid w:val="005351C5"/>
    <w:rsid w:val="005359FF"/>
    <w:rsid w:val="0053626C"/>
    <w:rsid w:val="005364B9"/>
    <w:rsid w:val="00536EA5"/>
    <w:rsid w:val="005371D4"/>
    <w:rsid w:val="00537F34"/>
    <w:rsid w:val="0054041E"/>
    <w:rsid w:val="005406A3"/>
    <w:rsid w:val="00541274"/>
    <w:rsid w:val="005415B9"/>
    <w:rsid w:val="00541E0F"/>
    <w:rsid w:val="00542588"/>
    <w:rsid w:val="005425A1"/>
    <w:rsid w:val="005425AC"/>
    <w:rsid w:val="00542728"/>
    <w:rsid w:val="00542E21"/>
    <w:rsid w:val="00542E4B"/>
    <w:rsid w:val="00544151"/>
    <w:rsid w:val="00544C4E"/>
    <w:rsid w:val="00545ACF"/>
    <w:rsid w:val="00546194"/>
    <w:rsid w:val="0054636E"/>
    <w:rsid w:val="00546568"/>
    <w:rsid w:val="00547423"/>
    <w:rsid w:val="00547CF7"/>
    <w:rsid w:val="00547D7D"/>
    <w:rsid w:val="005500BB"/>
    <w:rsid w:val="00550BFF"/>
    <w:rsid w:val="00550C41"/>
    <w:rsid w:val="00550E82"/>
    <w:rsid w:val="00551293"/>
    <w:rsid w:val="0055179C"/>
    <w:rsid w:val="00551B40"/>
    <w:rsid w:val="0055211E"/>
    <w:rsid w:val="0055357B"/>
    <w:rsid w:val="00553675"/>
    <w:rsid w:val="00553DBB"/>
    <w:rsid w:val="00554920"/>
    <w:rsid w:val="00554AC7"/>
    <w:rsid w:val="00555FAD"/>
    <w:rsid w:val="005560E5"/>
    <w:rsid w:val="0055666F"/>
    <w:rsid w:val="005566F7"/>
    <w:rsid w:val="00556A62"/>
    <w:rsid w:val="00556B84"/>
    <w:rsid w:val="00556C23"/>
    <w:rsid w:val="00557CFB"/>
    <w:rsid w:val="00560152"/>
    <w:rsid w:val="00560268"/>
    <w:rsid w:val="00560EAD"/>
    <w:rsid w:val="00561175"/>
    <w:rsid w:val="00562475"/>
    <w:rsid w:val="00562523"/>
    <w:rsid w:val="00562737"/>
    <w:rsid w:val="00562794"/>
    <w:rsid w:val="00563209"/>
    <w:rsid w:val="0056355C"/>
    <w:rsid w:val="00563872"/>
    <w:rsid w:val="00563943"/>
    <w:rsid w:val="00563D3B"/>
    <w:rsid w:val="00564521"/>
    <w:rsid w:val="00564955"/>
    <w:rsid w:val="00566168"/>
    <w:rsid w:val="005669B2"/>
    <w:rsid w:val="00566A41"/>
    <w:rsid w:val="00566B16"/>
    <w:rsid w:val="00566E5B"/>
    <w:rsid w:val="00566E77"/>
    <w:rsid w:val="0056717E"/>
    <w:rsid w:val="005677BC"/>
    <w:rsid w:val="005678C8"/>
    <w:rsid w:val="005704DD"/>
    <w:rsid w:val="005715AA"/>
    <w:rsid w:val="00571E91"/>
    <w:rsid w:val="0057201D"/>
    <w:rsid w:val="0057246E"/>
    <w:rsid w:val="0057257B"/>
    <w:rsid w:val="005728A9"/>
    <w:rsid w:val="00572B4D"/>
    <w:rsid w:val="00572D13"/>
    <w:rsid w:val="005731BB"/>
    <w:rsid w:val="00573436"/>
    <w:rsid w:val="005742AC"/>
    <w:rsid w:val="0057471B"/>
    <w:rsid w:val="00574AE3"/>
    <w:rsid w:val="00574BF4"/>
    <w:rsid w:val="00575373"/>
    <w:rsid w:val="00575385"/>
    <w:rsid w:val="005755D3"/>
    <w:rsid w:val="00575819"/>
    <w:rsid w:val="00575C02"/>
    <w:rsid w:val="00575E25"/>
    <w:rsid w:val="00575EA1"/>
    <w:rsid w:val="0057646E"/>
    <w:rsid w:val="00577BBF"/>
    <w:rsid w:val="005801C5"/>
    <w:rsid w:val="0058081A"/>
    <w:rsid w:val="005809E4"/>
    <w:rsid w:val="00580BEF"/>
    <w:rsid w:val="0058158E"/>
    <w:rsid w:val="00581696"/>
    <w:rsid w:val="005816BA"/>
    <w:rsid w:val="005817DC"/>
    <w:rsid w:val="00581AE7"/>
    <w:rsid w:val="00581F94"/>
    <w:rsid w:val="0058294E"/>
    <w:rsid w:val="00582F22"/>
    <w:rsid w:val="005838E2"/>
    <w:rsid w:val="00585536"/>
    <w:rsid w:val="00585697"/>
    <w:rsid w:val="005857AD"/>
    <w:rsid w:val="00586108"/>
    <w:rsid w:val="005862DF"/>
    <w:rsid w:val="0058678D"/>
    <w:rsid w:val="005868F0"/>
    <w:rsid w:val="00586CFF"/>
    <w:rsid w:val="005871F6"/>
    <w:rsid w:val="00587377"/>
    <w:rsid w:val="00590878"/>
    <w:rsid w:val="00590EA1"/>
    <w:rsid w:val="00590FF3"/>
    <w:rsid w:val="00591334"/>
    <w:rsid w:val="005914A0"/>
    <w:rsid w:val="00591903"/>
    <w:rsid w:val="00591C33"/>
    <w:rsid w:val="00592274"/>
    <w:rsid w:val="0059288F"/>
    <w:rsid w:val="00592B20"/>
    <w:rsid w:val="0059340E"/>
    <w:rsid w:val="00593858"/>
    <w:rsid w:val="00594664"/>
    <w:rsid w:val="005947F4"/>
    <w:rsid w:val="00594AD5"/>
    <w:rsid w:val="005952AE"/>
    <w:rsid w:val="0059685F"/>
    <w:rsid w:val="005A0978"/>
    <w:rsid w:val="005A0A43"/>
    <w:rsid w:val="005A14B3"/>
    <w:rsid w:val="005A1A5F"/>
    <w:rsid w:val="005A20AF"/>
    <w:rsid w:val="005A23AC"/>
    <w:rsid w:val="005A2837"/>
    <w:rsid w:val="005A2861"/>
    <w:rsid w:val="005A30A5"/>
    <w:rsid w:val="005A4A6E"/>
    <w:rsid w:val="005A4D63"/>
    <w:rsid w:val="005A510E"/>
    <w:rsid w:val="005A53ED"/>
    <w:rsid w:val="005A57C3"/>
    <w:rsid w:val="005A5F38"/>
    <w:rsid w:val="005A6065"/>
    <w:rsid w:val="005A6156"/>
    <w:rsid w:val="005A62F1"/>
    <w:rsid w:val="005A662E"/>
    <w:rsid w:val="005A6E79"/>
    <w:rsid w:val="005A7FB4"/>
    <w:rsid w:val="005B030E"/>
    <w:rsid w:val="005B0407"/>
    <w:rsid w:val="005B0458"/>
    <w:rsid w:val="005B0771"/>
    <w:rsid w:val="005B0B99"/>
    <w:rsid w:val="005B12E4"/>
    <w:rsid w:val="005B1987"/>
    <w:rsid w:val="005B1F1F"/>
    <w:rsid w:val="005B2097"/>
    <w:rsid w:val="005B2375"/>
    <w:rsid w:val="005B2861"/>
    <w:rsid w:val="005B302E"/>
    <w:rsid w:val="005B37A2"/>
    <w:rsid w:val="005B3817"/>
    <w:rsid w:val="005B382B"/>
    <w:rsid w:val="005B38B0"/>
    <w:rsid w:val="005B3F80"/>
    <w:rsid w:val="005B410E"/>
    <w:rsid w:val="005B45EA"/>
    <w:rsid w:val="005B4978"/>
    <w:rsid w:val="005B5231"/>
    <w:rsid w:val="005B55E1"/>
    <w:rsid w:val="005B5945"/>
    <w:rsid w:val="005B5A9A"/>
    <w:rsid w:val="005B6A23"/>
    <w:rsid w:val="005B7248"/>
    <w:rsid w:val="005B7C57"/>
    <w:rsid w:val="005B7F90"/>
    <w:rsid w:val="005C080B"/>
    <w:rsid w:val="005C0EA0"/>
    <w:rsid w:val="005C1021"/>
    <w:rsid w:val="005C13AE"/>
    <w:rsid w:val="005C1401"/>
    <w:rsid w:val="005C16CA"/>
    <w:rsid w:val="005C1BB0"/>
    <w:rsid w:val="005C24AC"/>
    <w:rsid w:val="005C277C"/>
    <w:rsid w:val="005C2968"/>
    <w:rsid w:val="005C34F1"/>
    <w:rsid w:val="005C4014"/>
    <w:rsid w:val="005C4064"/>
    <w:rsid w:val="005C40A9"/>
    <w:rsid w:val="005C4227"/>
    <w:rsid w:val="005C4CA9"/>
    <w:rsid w:val="005C64A4"/>
    <w:rsid w:val="005C66D5"/>
    <w:rsid w:val="005C6A6B"/>
    <w:rsid w:val="005C6CB5"/>
    <w:rsid w:val="005C6DB3"/>
    <w:rsid w:val="005C7360"/>
    <w:rsid w:val="005C7454"/>
    <w:rsid w:val="005C764F"/>
    <w:rsid w:val="005D011E"/>
    <w:rsid w:val="005D03C1"/>
    <w:rsid w:val="005D16DE"/>
    <w:rsid w:val="005D1B5F"/>
    <w:rsid w:val="005D2199"/>
    <w:rsid w:val="005D22CA"/>
    <w:rsid w:val="005D2CB4"/>
    <w:rsid w:val="005D2EB3"/>
    <w:rsid w:val="005D360B"/>
    <w:rsid w:val="005D3BB0"/>
    <w:rsid w:val="005D499F"/>
    <w:rsid w:val="005D4A47"/>
    <w:rsid w:val="005D4C3A"/>
    <w:rsid w:val="005D4F42"/>
    <w:rsid w:val="005D507E"/>
    <w:rsid w:val="005D570E"/>
    <w:rsid w:val="005D5C32"/>
    <w:rsid w:val="005D5EB5"/>
    <w:rsid w:val="005D61AE"/>
    <w:rsid w:val="005D6270"/>
    <w:rsid w:val="005D65EE"/>
    <w:rsid w:val="005D6965"/>
    <w:rsid w:val="005D6AD8"/>
    <w:rsid w:val="005D6DFD"/>
    <w:rsid w:val="005D7004"/>
    <w:rsid w:val="005D7933"/>
    <w:rsid w:val="005D7D2B"/>
    <w:rsid w:val="005D7ECC"/>
    <w:rsid w:val="005D7F13"/>
    <w:rsid w:val="005E07D3"/>
    <w:rsid w:val="005E0BC1"/>
    <w:rsid w:val="005E1575"/>
    <w:rsid w:val="005E1ACF"/>
    <w:rsid w:val="005E1BB9"/>
    <w:rsid w:val="005E259E"/>
    <w:rsid w:val="005E2E02"/>
    <w:rsid w:val="005E3461"/>
    <w:rsid w:val="005E3DE0"/>
    <w:rsid w:val="005E4499"/>
    <w:rsid w:val="005E4896"/>
    <w:rsid w:val="005E4C3C"/>
    <w:rsid w:val="005E53D1"/>
    <w:rsid w:val="005E55D0"/>
    <w:rsid w:val="005E5797"/>
    <w:rsid w:val="005E5980"/>
    <w:rsid w:val="005E6307"/>
    <w:rsid w:val="005E670E"/>
    <w:rsid w:val="005E6E81"/>
    <w:rsid w:val="005E7D3E"/>
    <w:rsid w:val="005F029A"/>
    <w:rsid w:val="005F0322"/>
    <w:rsid w:val="005F19FF"/>
    <w:rsid w:val="005F1D92"/>
    <w:rsid w:val="005F2007"/>
    <w:rsid w:val="005F2858"/>
    <w:rsid w:val="005F28AA"/>
    <w:rsid w:val="005F3A30"/>
    <w:rsid w:val="005F3A4B"/>
    <w:rsid w:val="005F4B00"/>
    <w:rsid w:val="005F4E1D"/>
    <w:rsid w:val="005F5024"/>
    <w:rsid w:val="005F5497"/>
    <w:rsid w:val="005F5D67"/>
    <w:rsid w:val="005F62AE"/>
    <w:rsid w:val="005F7261"/>
    <w:rsid w:val="005F7605"/>
    <w:rsid w:val="005F770D"/>
    <w:rsid w:val="00601E6B"/>
    <w:rsid w:val="0060216E"/>
    <w:rsid w:val="0060287D"/>
    <w:rsid w:val="00602B5A"/>
    <w:rsid w:val="006033BE"/>
    <w:rsid w:val="00603FE2"/>
    <w:rsid w:val="0060452F"/>
    <w:rsid w:val="0060479E"/>
    <w:rsid w:val="00604819"/>
    <w:rsid w:val="0060559E"/>
    <w:rsid w:val="00605E37"/>
    <w:rsid w:val="00606097"/>
    <w:rsid w:val="006063F7"/>
    <w:rsid w:val="006064FF"/>
    <w:rsid w:val="006070C3"/>
    <w:rsid w:val="00607A2E"/>
    <w:rsid w:val="00607D9F"/>
    <w:rsid w:val="0061022B"/>
    <w:rsid w:val="00610314"/>
    <w:rsid w:val="00611531"/>
    <w:rsid w:val="0061177F"/>
    <w:rsid w:val="00611C04"/>
    <w:rsid w:val="00611EFB"/>
    <w:rsid w:val="0061255B"/>
    <w:rsid w:val="006125B0"/>
    <w:rsid w:val="00613BE5"/>
    <w:rsid w:val="00613D02"/>
    <w:rsid w:val="00613F55"/>
    <w:rsid w:val="00614D9D"/>
    <w:rsid w:val="00615AC1"/>
    <w:rsid w:val="00615E55"/>
    <w:rsid w:val="00616061"/>
    <w:rsid w:val="00616239"/>
    <w:rsid w:val="0061643B"/>
    <w:rsid w:val="006164F7"/>
    <w:rsid w:val="00616E22"/>
    <w:rsid w:val="0061751B"/>
    <w:rsid w:val="006176A4"/>
    <w:rsid w:val="0062063A"/>
    <w:rsid w:val="00620734"/>
    <w:rsid w:val="00620765"/>
    <w:rsid w:val="00620B48"/>
    <w:rsid w:val="00620B64"/>
    <w:rsid w:val="00620BE8"/>
    <w:rsid w:val="00620D94"/>
    <w:rsid w:val="00621056"/>
    <w:rsid w:val="00621D8A"/>
    <w:rsid w:val="00622198"/>
    <w:rsid w:val="006228CB"/>
    <w:rsid w:val="00622A23"/>
    <w:rsid w:val="00622DC8"/>
    <w:rsid w:val="00622F95"/>
    <w:rsid w:val="0062316B"/>
    <w:rsid w:val="00623218"/>
    <w:rsid w:val="00623DBF"/>
    <w:rsid w:val="006240F3"/>
    <w:rsid w:val="006246F6"/>
    <w:rsid w:val="0062493C"/>
    <w:rsid w:val="00625077"/>
    <w:rsid w:val="006258FD"/>
    <w:rsid w:val="006265B5"/>
    <w:rsid w:val="006266E1"/>
    <w:rsid w:val="00626C26"/>
    <w:rsid w:val="0063056F"/>
    <w:rsid w:val="00630894"/>
    <w:rsid w:val="00630AA0"/>
    <w:rsid w:val="00631BF1"/>
    <w:rsid w:val="0063260C"/>
    <w:rsid w:val="006333D6"/>
    <w:rsid w:val="00634379"/>
    <w:rsid w:val="0063488B"/>
    <w:rsid w:val="00634932"/>
    <w:rsid w:val="00634EC9"/>
    <w:rsid w:val="00635016"/>
    <w:rsid w:val="0063524A"/>
    <w:rsid w:val="00636096"/>
    <w:rsid w:val="00636240"/>
    <w:rsid w:val="00636A4D"/>
    <w:rsid w:val="00636C1A"/>
    <w:rsid w:val="0063765D"/>
    <w:rsid w:val="00637C70"/>
    <w:rsid w:val="00640005"/>
    <w:rsid w:val="00640043"/>
    <w:rsid w:val="00641176"/>
    <w:rsid w:val="006421D8"/>
    <w:rsid w:val="00642334"/>
    <w:rsid w:val="006429CE"/>
    <w:rsid w:val="00642B27"/>
    <w:rsid w:val="006435A0"/>
    <w:rsid w:val="00644508"/>
    <w:rsid w:val="0064477C"/>
    <w:rsid w:val="0064553B"/>
    <w:rsid w:val="006455FD"/>
    <w:rsid w:val="006460F2"/>
    <w:rsid w:val="006469E6"/>
    <w:rsid w:val="00646D93"/>
    <w:rsid w:val="006470F6"/>
    <w:rsid w:val="00647461"/>
    <w:rsid w:val="00650231"/>
    <w:rsid w:val="0065076D"/>
    <w:rsid w:val="00650940"/>
    <w:rsid w:val="00651191"/>
    <w:rsid w:val="0065126C"/>
    <w:rsid w:val="00651C6F"/>
    <w:rsid w:val="00652727"/>
    <w:rsid w:val="00652ABA"/>
    <w:rsid w:val="00652BDF"/>
    <w:rsid w:val="0065312E"/>
    <w:rsid w:val="00654983"/>
    <w:rsid w:val="00654FED"/>
    <w:rsid w:val="0065546B"/>
    <w:rsid w:val="00655890"/>
    <w:rsid w:val="00655E24"/>
    <w:rsid w:val="0065629F"/>
    <w:rsid w:val="00656828"/>
    <w:rsid w:val="00656923"/>
    <w:rsid w:val="006569D9"/>
    <w:rsid w:val="00656A80"/>
    <w:rsid w:val="00656F5A"/>
    <w:rsid w:val="00657717"/>
    <w:rsid w:val="00657DA1"/>
    <w:rsid w:val="006600CB"/>
    <w:rsid w:val="006603BF"/>
    <w:rsid w:val="0066134D"/>
    <w:rsid w:val="006617FE"/>
    <w:rsid w:val="006618FF"/>
    <w:rsid w:val="006619C6"/>
    <w:rsid w:val="006622D1"/>
    <w:rsid w:val="006630EB"/>
    <w:rsid w:val="00663AC7"/>
    <w:rsid w:val="00663B38"/>
    <w:rsid w:val="00663C42"/>
    <w:rsid w:val="00664459"/>
    <w:rsid w:val="00664465"/>
    <w:rsid w:val="00664FE3"/>
    <w:rsid w:val="00665325"/>
    <w:rsid w:val="0066555B"/>
    <w:rsid w:val="006658A7"/>
    <w:rsid w:val="00665BD1"/>
    <w:rsid w:val="00665D70"/>
    <w:rsid w:val="00665F3F"/>
    <w:rsid w:val="006662FE"/>
    <w:rsid w:val="00666398"/>
    <w:rsid w:val="00666E41"/>
    <w:rsid w:val="00667057"/>
    <w:rsid w:val="00667082"/>
    <w:rsid w:val="00667D70"/>
    <w:rsid w:val="00667EC9"/>
    <w:rsid w:val="006700C4"/>
    <w:rsid w:val="00670534"/>
    <w:rsid w:val="006705BF"/>
    <w:rsid w:val="0067066A"/>
    <w:rsid w:val="006708F1"/>
    <w:rsid w:val="00670F17"/>
    <w:rsid w:val="00670F44"/>
    <w:rsid w:val="00670F9C"/>
    <w:rsid w:val="006710BB"/>
    <w:rsid w:val="00671F05"/>
    <w:rsid w:val="00671F2D"/>
    <w:rsid w:val="00672027"/>
    <w:rsid w:val="0067219A"/>
    <w:rsid w:val="0067245D"/>
    <w:rsid w:val="006725FA"/>
    <w:rsid w:val="006730E9"/>
    <w:rsid w:val="00673645"/>
    <w:rsid w:val="006739DE"/>
    <w:rsid w:val="00673B38"/>
    <w:rsid w:val="00674231"/>
    <w:rsid w:val="00674354"/>
    <w:rsid w:val="006751C4"/>
    <w:rsid w:val="00675712"/>
    <w:rsid w:val="00675E84"/>
    <w:rsid w:val="00676249"/>
    <w:rsid w:val="0067663E"/>
    <w:rsid w:val="0067682A"/>
    <w:rsid w:val="0067748A"/>
    <w:rsid w:val="00677970"/>
    <w:rsid w:val="006805B3"/>
    <w:rsid w:val="006808D6"/>
    <w:rsid w:val="00680BF0"/>
    <w:rsid w:val="00680D79"/>
    <w:rsid w:val="00682269"/>
    <w:rsid w:val="00682977"/>
    <w:rsid w:val="00682C3E"/>
    <w:rsid w:val="00682E0A"/>
    <w:rsid w:val="00683247"/>
    <w:rsid w:val="0068377E"/>
    <w:rsid w:val="0068395F"/>
    <w:rsid w:val="006846BD"/>
    <w:rsid w:val="00684B14"/>
    <w:rsid w:val="00684C86"/>
    <w:rsid w:val="00685562"/>
    <w:rsid w:val="006857D5"/>
    <w:rsid w:val="00685D0F"/>
    <w:rsid w:val="00685F47"/>
    <w:rsid w:val="00686641"/>
    <w:rsid w:val="00686653"/>
    <w:rsid w:val="006868AC"/>
    <w:rsid w:val="006869D3"/>
    <w:rsid w:val="00686C77"/>
    <w:rsid w:val="00686E5B"/>
    <w:rsid w:val="0068716A"/>
    <w:rsid w:val="00687472"/>
    <w:rsid w:val="00687803"/>
    <w:rsid w:val="00687EC0"/>
    <w:rsid w:val="00687F88"/>
    <w:rsid w:val="00690EFF"/>
    <w:rsid w:val="00692825"/>
    <w:rsid w:val="00692892"/>
    <w:rsid w:val="00693107"/>
    <w:rsid w:val="006933DD"/>
    <w:rsid w:val="006936FA"/>
    <w:rsid w:val="00693CDE"/>
    <w:rsid w:val="00693E94"/>
    <w:rsid w:val="00694F72"/>
    <w:rsid w:val="00695239"/>
    <w:rsid w:val="006958E8"/>
    <w:rsid w:val="00695BC3"/>
    <w:rsid w:val="0069626E"/>
    <w:rsid w:val="00696B02"/>
    <w:rsid w:val="00696BA5"/>
    <w:rsid w:val="00696E0C"/>
    <w:rsid w:val="00697401"/>
    <w:rsid w:val="0069783F"/>
    <w:rsid w:val="006A0BB1"/>
    <w:rsid w:val="006A0D55"/>
    <w:rsid w:val="006A125C"/>
    <w:rsid w:val="006A13D0"/>
    <w:rsid w:val="006A26FB"/>
    <w:rsid w:val="006A2729"/>
    <w:rsid w:val="006A2B2B"/>
    <w:rsid w:val="006A2EBA"/>
    <w:rsid w:val="006A2F56"/>
    <w:rsid w:val="006A3D89"/>
    <w:rsid w:val="006A3E5E"/>
    <w:rsid w:val="006A4625"/>
    <w:rsid w:val="006A4C24"/>
    <w:rsid w:val="006A53D9"/>
    <w:rsid w:val="006A5665"/>
    <w:rsid w:val="006A5944"/>
    <w:rsid w:val="006A5B6C"/>
    <w:rsid w:val="006A5D2E"/>
    <w:rsid w:val="006A6958"/>
    <w:rsid w:val="006A6B75"/>
    <w:rsid w:val="006A798A"/>
    <w:rsid w:val="006A7B26"/>
    <w:rsid w:val="006A7C3B"/>
    <w:rsid w:val="006A7C7A"/>
    <w:rsid w:val="006B055E"/>
    <w:rsid w:val="006B06D5"/>
    <w:rsid w:val="006B0F4D"/>
    <w:rsid w:val="006B0FE6"/>
    <w:rsid w:val="006B1AA5"/>
    <w:rsid w:val="006B2E77"/>
    <w:rsid w:val="006B3834"/>
    <w:rsid w:val="006B3D62"/>
    <w:rsid w:val="006B4BEF"/>
    <w:rsid w:val="006B4FCF"/>
    <w:rsid w:val="006B5036"/>
    <w:rsid w:val="006B54BB"/>
    <w:rsid w:val="006B5824"/>
    <w:rsid w:val="006B5DD2"/>
    <w:rsid w:val="006B6A31"/>
    <w:rsid w:val="006B6D24"/>
    <w:rsid w:val="006B6E80"/>
    <w:rsid w:val="006B7368"/>
    <w:rsid w:val="006B7924"/>
    <w:rsid w:val="006B7DE2"/>
    <w:rsid w:val="006C12EA"/>
    <w:rsid w:val="006C1815"/>
    <w:rsid w:val="006C1F97"/>
    <w:rsid w:val="006C2089"/>
    <w:rsid w:val="006C25D9"/>
    <w:rsid w:val="006C293C"/>
    <w:rsid w:val="006C298C"/>
    <w:rsid w:val="006C2E6B"/>
    <w:rsid w:val="006C3005"/>
    <w:rsid w:val="006C39C8"/>
    <w:rsid w:val="006C41C3"/>
    <w:rsid w:val="006C41E8"/>
    <w:rsid w:val="006C47B7"/>
    <w:rsid w:val="006C4B49"/>
    <w:rsid w:val="006C4E16"/>
    <w:rsid w:val="006C606D"/>
    <w:rsid w:val="006C648E"/>
    <w:rsid w:val="006C65CE"/>
    <w:rsid w:val="006C6C63"/>
    <w:rsid w:val="006C7124"/>
    <w:rsid w:val="006C7317"/>
    <w:rsid w:val="006C7999"/>
    <w:rsid w:val="006D07F8"/>
    <w:rsid w:val="006D0859"/>
    <w:rsid w:val="006D0C33"/>
    <w:rsid w:val="006D0DD1"/>
    <w:rsid w:val="006D0ECD"/>
    <w:rsid w:val="006D10D7"/>
    <w:rsid w:val="006D13EB"/>
    <w:rsid w:val="006D16A6"/>
    <w:rsid w:val="006D1823"/>
    <w:rsid w:val="006D1FAB"/>
    <w:rsid w:val="006D22CB"/>
    <w:rsid w:val="006D24BD"/>
    <w:rsid w:val="006D2BEE"/>
    <w:rsid w:val="006D3142"/>
    <w:rsid w:val="006D47CE"/>
    <w:rsid w:val="006D506D"/>
    <w:rsid w:val="006D52B6"/>
    <w:rsid w:val="006D5580"/>
    <w:rsid w:val="006D5679"/>
    <w:rsid w:val="006D5F2F"/>
    <w:rsid w:val="006D6079"/>
    <w:rsid w:val="006D6818"/>
    <w:rsid w:val="006D6952"/>
    <w:rsid w:val="006D73E9"/>
    <w:rsid w:val="006D77D4"/>
    <w:rsid w:val="006D79DB"/>
    <w:rsid w:val="006D7C7D"/>
    <w:rsid w:val="006D7E2E"/>
    <w:rsid w:val="006E01B5"/>
    <w:rsid w:val="006E0732"/>
    <w:rsid w:val="006E0D67"/>
    <w:rsid w:val="006E0FCB"/>
    <w:rsid w:val="006E2522"/>
    <w:rsid w:val="006E278B"/>
    <w:rsid w:val="006E2BF7"/>
    <w:rsid w:val="006E2CDF"/>
    <w:rsid w:val="006E2F73"/>
    <w:rsid w:val="006E3115"/>
    <w:rsid w:val="006E3515"/>
    <w:rsid w:val="006E3A01"/>
    <w:rsid w:val="006E3EEE"/>
    <w:rsid w:val="006E3FF3"/>
    <w:rsid w:val="006E4248"/>
    <w:rsid w:val="006E427A"/>
    <w:rsid w:val="006E4CDD"/>
    <w:rsid w:val="006E4E38"/>
    <w:rsid w:val="006E500F"/>
    <w:rsid w:val="006E5572"/>
    <w:rsid w:val="006E5770"/>
    <w:rsid w:val="006E60CA"/>
    <w:rsid w:val="006E6402"/>
    <w:rsid w:val="006E6536"/>
    <w:rsid w:val="006E6FDD"/>
    <w:rsid w:val="006E7261"/>
    <w:rsid w:val="006E7732"/>
    <w:rsid w:val="006E77A4"/>
    <w:rsid w:val="006E7A34"/>
    <w:rsid w:val="006F0FB3"/>
    <w:rsid w:val="006F1294"/>
    <w:rsid w:val="006F13F9"/>
    <w:rsid w:val="006F144F"/>
    <w:rsid w:val="006F14A6"/>
    <w:rsid w:val="006F154A"/>
    <w:rsid w:val="006F1D22"/>
    <w:rsid w:val="006F1E38"/>
    <w:rsid w:val="006F210D"/>
    <w:rsid w:val="006F2B5C"/>
    <w:rsid w:val="006F46FA"/>
    <w:rsid w:val="006F575C"/>
    <w:rsid w:val="006F5804"/>
    <w:rsid w:val="006F5982"/>
    <w:rsid w:val="006F71CB"/>
    <w:rsid w:val="006F74AA"/>
    <w:rsid w:val="006F7B93"/>
    <w:rsid w:val="006F7C70"/>
    <w:rsid w:val="006F7D02"/>
    <w:rsid w:val="006F7EA4"/>
    <w:rsid w:val="00701278"/>
    <w:rsid w:val="007013AC"/>
    <w:rsid w:val="00701618"/>
    <w:rsid w:val="007016BE"/>
    <w:rsid w:val="00701AA1"/>
    <w:rsid w:val="00701C56"/>
    <w:rsid w:val="0070202F"/>
    <w:rsid w:val="0070211E"/>
    <w:rsid w:val="0070309A"/>
    <w:rsid w:val="007036DE"/>
    <w:rsid w:val="00704D4C"/>
    <w:rsid w:val="00705A14"/>
    <w:rsid w:val="00705A37"/>
    <w:rsid w:val="00705A73"/>
    <w:rsid w:val="007061E1"/>
    <w:rsid w:val="007064E0"/>
    <w:rsid w:val="007065F6"/>
    <w:rsid w:val="0070772D"/>
    <w:rsid w:val="007078F5"/>
    <w:rsid w:val="00707A1B"/>
    <w:rsid w:val="00710443"/>
    <w:rsid w:val="00710A73"/>
    <w:rsid w:val="00710E7C"/>
    <w:rsid w:val="00711021"/>
    <w:rsid w:val="0071142A"/>
    <w:rsid w:val="0071163E"/>
    <w:rsid w:val="00711A9E"/>
    <w:rsid w:val="0071275A"/>
    <w:rsid w:val="00712940"/>
    <w:rsid w:val="00712B12"/>
    <w:rsid w:val="00712D0E"/>
    <w:rsid w:val="007137AB"/>
    <w:rsid w:val="00714E9C"/>
    <w:rsid w:val="007156BD"/>
    <w:rsid w:val="00715DA4"/>
    <w:rsid w:val="0071666E"/>
    <w:rsid w:val="00717778"/>
    <w:rsid w:val="00717875"/>
    <w:rsid w:val="00717950"/>
    <w:rsid w:val="00717BBD"/>
    <w:rsid w:val="00717DEA"/>
    <w:rsid w:val="00717F0F"/>
    <w:rsid w:val="00720175"/>
    <w:rsid w:val="00720776"/>
    <w:rsid w:val="00720B66"/>
    <w:rsid w:val="00721000"/>
    <w:rsid w:val="00721668"/>
    <w:rsid w:val="00721AF9"/>
    <w:rsid w:val="00721BEC"/>
    <w:rsid w:val="00722624"/>
    <w:rsid w:val="0072281D"/>
    <w:rsid w:val="00722D55"/>
    <w:rsid w:val="007231B0"/>
    <w:rsid w:val="00723966"/>
    <w:rsid w:val="00723BE3"/>
    <w:rsid w:val="00723CB9"/>
    <w:rsid w:val="00724D2F"/>
    <w:rsid w:val="00725EC1"/>
    <w:rsid w:val="00725FA5"/>
    <w:rsid w:val="0072635C"/>
    <w:rsid w:val="007269A5"/>
    <w:rsid w:val="00727080"/>
    <w:rsid w:val="007274B3"/>
    <w:rsid w:val="00727BEE"/>
    <w:rsid w:val="00727CC0"/>
    <w:rsid w:val="0073070B"/>
    <w:rsid w:val="007308C6"/>
    <w:rsid w:val="00731323"/>
    <w:rsid w:val="00731561"/>
    <w:rsid w:val="007315FC"/>
    <w:rsid w:val="00731643"/>
    <w:rsid w:val="0073383D"/>
    <w:rsid w:val="00733B08"/>
    <w:rsid w:val="00734DDF"/>
    <w:rsid w:val="00735187"/>
    <w:rsid w:val="00735448"/>
    <w:rsid w:val="00735C14"/>
    <w:rsid w:val="00735E3F"/>
    <w:rsid w:val="00735F03"/>
    <w:rsid w:val="00736FB9"/>
    <w:rsid w:val="00737057"/>
    <w:rsid w:val="007372C0"/>
    <w:rsid w:val="007402BD"/>
    <w:rsid w:val="00740E71"/>
    <w:rsid w:val="0074150F"/>
    <w:rsid w:val="007418C5"/>
    <w:rsid w:val="00741938"/>
    <w:rsid w:val="007419FA"/>
    <w:rsid w:val="00741ADC"/>
    <w:rsid w:val="00741BA4"/>
    <w:rsid w:val="00741F5D"/>
    <w:rsid w:val="00742F61"/>
    <w:rsid w:val="00743329"/>
    <w:rsid w:val="0074380D"/>
    <w:rsid w:val="007438E3"/>
    <w:rsid w:val="0074394F"/>
    <w:rsid w:val="007449BF"/>
    <w:rsid w:val="0074532D"/>
    <w:rsid w:val="007457C1"/>
    <w:rsid w:val="00745C38"/>
    <w:rsid w:val="00745D0B"/>
    <w:rsid w:val="00746515"/>
    <w:rsid w:val="0074667F"/>
    <w:rsid w:val="00746BAF"/>
    <w:rsid w:val="0074741E"/>
    <w:rsid w:val="0074774B"/>
    <w:rsid w:val="007508C2"/>
    <w:rsid w:val="007510B3"/>
    <w:rsid w:val="007514A8"/>
    <w:rsid w:val="00751A3B"/>
    <w:rsid w:val="00751BBE"/>
    <w:rsid w:val="00751C0B"/>
    <w:rsid w:val="00752403"/>
    <w:rsid w:val="00752BEC"/>
    <w:rsid w:val="00752C26"/>
    <w:rsid w:val="00753194"/>
    <w:rsid w:val="00753676"/>
    <w:rsid w:val="00753CE7"/>
    <w:rsid w:val="007543C2"/>
    <w:rsid w:val="0075528F"/>
    <w:rsid w:val="007556D3"/>
    <w:rsid w:val="00755717"/>
    <w:rsid w:val="00755AA4"/>
    <w:rsid w:val="00755B74"/>
    <w:rsid w:val="00755DB5"/>
    <w:rsid w:val="00755EAC"/>
    <w:rsid w:val="007561B7"/>
    <w:rsid w:val="00757E25"/>
    <w:rsid w:val="00757EF7"/>
    <w:rsid w:val="007609F5"/>
    <w:rsid w:val="00761D86"/>
    <w:rsid w:val="00761D92"/>
    <w:rsid w:val="0076267C"/>
    <w:rsid w:val="00762D83"/>
    <w:rsid w:val="00762DFF"/>
    <w:rsid w:val="007631AC"/>
    <w:rsid w:val="0076365B"/>
    <w:rsid w:val="00763664"/>
    <w:rsid w:val="00764291"/>
    <w:rsid w:val="0076440D"/>
    <w:rsid w:val="00764A2B"/>
    <w:rsid w:val="00764C82"/>
    <w:rsid w:val="00764DCC"/>
    <w:rsid w:val="00764E43"/>
    <w:rsid w:val="00765339"/>
    <w:rsid w:val="007656C2"/>
    <w:rsid w:val="00765E1F"/>
    <w:rsid w:val="007666A7"/>
    <w:rsid w:val="007666C0"/>
    <w:rsid w:val="00767C4D"/>
    <w:rsid w:val="00770512"/>
    <w:rsid w:val="007705D1"/>
    <w:rsid w:val="007706C6"/>
    <w:rsid w:val="007706CE"/>
    <w:rsid w:val="007720F8"/>
    <w:rsid w:val="00773349"/>
    <w:rsid w:val="00773FE8"/>
    <w:rsid w:val="007744D5"/>
    <w:rsid w:val="007747B1"/>
    <w:rsid w:val="00774CF2"/>
    <w:rsid w:val="00774D3A"/>
    <w:rsid w:val="00774DD7"/>
    <w:rsid w:val="00774E99"/>
    <w:rsid w:val="0077506C"/>
    <w:rsid w:val="0077531D"/>
    <w:rsid w:val="00775432"/>
    <w:rsid w:val="007754B0"/>
    <w:rsid w:val="00775667"/>
    <w:rsid w:val="007756E0"/>
    <w:rsid w:val="007759FC"/>
    <w:rsid w:val="007761B4"/>
    <w:rsid w:val="00776343"/>
    <w:rsid w:val="007763E9"/>
    <w:rsid w:val="0077656E"/>
    <w:rsid w:val="00776B9E"/>
    <w:rsid w:val="00776E81"/>
    <w:rsid w:val="00777035"/>
    <w:rsid w:val="0077724E"/>
    <w:rsid w:val="0077754C"/>
    <w:rsid w:val="0077760A"/>
    <w:rsid w:val="00777C46"/>
    <w:rsid w:val="00780455"/>
    <w:rsid w:val="007807B4"/>
    <w:rsid w:val="00780962"/>
    <w:rsid w:val="00780F79"/>
    <w:rsid w:val="0078162A"/>
    <w:rsid w:val="0078170E"/>
    <w:rsid w:val="007818AD"/>
    <w:rsid w:val="00782994"/>
    <w:rsid w:val="00782B77"/>
    <w:rsid w:val="00782EA9"/>
    <w:rsid w:val="00783857"/>
    <w:rsid w:val="00784C26"/>
    <w:rsid w:val="00785163"/>
    <w:rsid w:val="007851E1"/>
    <w:rsid w:val="0078569A"/>
    <w:rsid w:val="007857F6"/>
    <w:rsid w:val="00785C08"/>
    <w:rsid w:val="00785DDD"/>
    <w:rsid w:val="0079059B"/>
    <w:rsid w:val="007906A1"/>
    <w:rsid w:val="00790991"/>
    <w:rsid w:val="00791B86"/>
    <w:rsid w:val="00791DA6"/>
    <w:rsid w:val="00791FB0"/>
    <w:rsid w:val="00791FD6"/>
    <w:rsid w:val="00792164"/>
    <w:rsid w:val="00792FB0"/>
    <w:rsid w:val="0079334F"/>
    <w:rsid w:val="0079344A"/>
    <w:rsid w:val="00793F5D"/>
    <w:rsid w:val="007941D5"/>
    <w:rsid w:val="00794227"/>
    <w:rsid w:val="00794886"/>
    <w:rsid w:val="00795327"/>
    <w:rsid w:val="007956C4"/>
    <w:rsid w:val="00795B4E"/>
    <w:rsid w:val="00795EF3"/>
    <w:rsid w:val="00795F90"/>
    <w:rsid w:val="00796372"/>
    <w:rsid w:val="0079687C"/>
    <w:rsid w:val="007968DE"/>
    <w:rsid w:val="00796AFB"/>
    <w:rsid w:val="007977DE"/>
    <w:rsid w:val="00797CB8"/>
    <w:rsid w:val="00797CE2"/>
    <w:rsid w:val="007A00E1"/>
    <w:rsid w:val="007A0949"/>
    <w:rsid w:val="007A0A62"/>
    <w:rsid w:val="007A0D29"/>
    <w:rsid w:val="007A0F9E"/>
    <w:rsid w:val="007A1011"/>
    <w:rsid w:val="007A12F8"/>
    <w:rsid w:val="007A154E"/>
    <w:rsid w:val="007A193F"/>
    <w:rsid w:val="007A1AFD"/>
    <w:rsid w:val="007A297B"/>
    <w:rsid w:val="007A2BCA"/>
    <w:rsid w:val="007A3926"/>
    <w:rsid w:val="007A4052"/>
    <w:rsid w:val="007A437F"/>
    <w:rsid w:val="007A4907"/>
    <w:rsid w:val="007A51CB"/>
    <w:rsid w:val="007A5523"/>
    <w:rsid w:val="007A5B3D"/>
    <w:rsid w:val="007A5D24"/>
    <w:rsid w:val="007A6F99"/>
    <w:rsid w:val="007A734E"/>
    <w:rsid w:val="007A7404"/>
    <w:rsid w:val="007A77D1"/>
    <w:rsid w:val="007B02AB"/>
    <w:rsid w:val="007B0560"/>
    <w:rsid w:val="007B12D1"/>
    <w:rsid w:val="007B12DA"/>
    <w:rsid w:val="007B1455"/>
    <w:rsid w:val="007B15F3"/>
    <w:rsid w:val="007B1829"/>
    <w:rsid w:val="007B216A"/>
    <w:rsid w:val="007B2294"/>
    <w:rsid w:val="007B256A"/>
    <w:rsid w:val="007B260C"/>
    <w:rsid w:val="007B2773"/>
    <w:rsid w:val="007B41FF"/>
    <w:rsid w:val="007B4ED5"/>
    <w:rsid w:val="007B50FE"/>
    <w:rsid w:val="007B57C8"/>
    <w:rsid w:val="007B60E8"/>
    <w:rsid w:val="007B6335"/>
    <w:rsid w:val="007B6C5B"/>
    <w:rsid w:val="007B6D47"/>
    <w:rsid w:val="007B6E59"/>
    <w:rsid w:val="007B6EAF"/>
    <w:rsid w:val="007B7F75"/>
    <w:rsid w:val="007C0283"/>
    <w:rsid w:val="007C03B3"/>
    <w:rsid w:val="007C0AE5"/>
    <w:rsid w:val="007C0CA5"/>
    <w:rsid w:val="007C1D5D"/>
    <w:rsid w:val="007C21F1"/>
    <w:rsid w:val="007C2AD1"/>
    <w:rsid w:val="007C3349"/>
    <w:rsid w:val="007C45E0"/>
    <w:rsid w:val="007C4692"/>
    <w:rsid w:val="007C46BF"/>
    <w:rsid w:val="007C4C46"/>
    <w:rsid w:val="007C5096"/>
    <w:rsid w:val="007C57BD"/>
    <w:rsid w:val="007C5D23"/>
    <w:rsid w:val="007C6075"/>
    <w:rsid w:val="007C60E7"/>
    <w:rsid w:val="007C6191"/>
    <w:rsid w:val="007C63CF"/>
    <w:rsid w:val="007C662C"/>
    <w:rsid w:val="007C6EF1"/>
    <w:rsid w:val="007C725E"/>
    <w:rsid w:val="007C7A1B"/>
    <w:rsid w:val="007C7DC2"/>
    <w:rsid w:val="007D0682"/>
    <w:rsid w:val="007D0AD8"/>
    <w:rsid w:val="007D0DAA"/>
    <w:rsid w:val="007D0E19"/>
    <w:rsid w:val="007D1848"/>
    <w:rsid w:val="007D1935"/>
    <w:rsid w:val="007D1BBF"/>
    <w:rsid w:val="007D1BFF"/>
    <w:rsid w:val="007D1D09"/>
    <w:rsid w:val="007D1D29"/>
    <w:rsid w:val="007D2074"/>
    <w:rsid w:val="007D20BA"/>
    <w:rsid w:val="007D20E9"/>
    <w:rsid w:val="007D2587"/>
    <w:rsid w:val="007D2B76"/>
    <w:rsid w:val="007D2F93"/>
    <w:rsid w:val="007D354F"/>
    <w:rsid w:val="007D3F47"/>
    <w:rsid w:val="007D459B"/>
    <w:rsid w:val="007D45A1"/>
    <w:rsid w:val="007D54A2"/>
    <w:rsid w:val="007D56C2"/>
    <w:rsid w:val="007D57F4"/>
    <w:rsid w:val="007D60FB"/>
    <w:rsid w:val="007D650F"/>
    <w:rsid w:val="007D6B2A"/>
    <w:rsid w:val="007D6D77"/>
    <w:rsid w:val="007D702F"/>
    <w:rsid w:val="007D7984"/>
    <w:rsid w:val="007D7C1D"/>
    <w:rsid w:val="007E03FD"/>
    <w:rsid w:val="007E04C7"/>
    <w:rsid w:val="007E0D0E"/>
    <w:rsid w:val="007E2A6B"/>
    <w:rsid w:val="007E2B6D"/>
    <w:rsid w:val="007E2D70"/>
    <w:rsid w:val="007E2D78"/>
    <w:rsid w:val="007E3014"/>
    <w:rsid w:val="007E3AA5"/>
    <w:rsid w:val="007E3C12"/>
    <w:rsid w:val="007E40D8"/>
    <w:rsid w:val="007E49C1"/>
    <w:rsid w:val="007E5FB9"/>
    <w:rsid w:val="007E5FF9"/>
    <w:rsid w:val="007E60EC"/>
    <w:rsid w:val="007E6F38"/>
    <w:rsid w:val="007E7481"/>
    <w:rsid w:val="007E77FD"/>
    <w:rsid w:val="007E798C"/>
    <w:rsid w:val="007E7A98"/>
    <w:rsid w:val="007E7CB0"/>
    <w:rsid w:val="007E7E26"/>
    <w:rsid w:val="007F013B"/>
    <w:rsid w:val="007F06BC"/>
    <w:rsid w:val="007F089F"/>
    <w:rsid w:val="007F0BA5"/>
    <w:rsid w:val="007F0C5D"/>
    <w:rsid w:val="007F0F15"/>
    <w:rsid w:val="007F0F55"/>
    <w:rsid w:val="007F1008"/>
    <w:rsid w:val="007F146C"/>
    <w:rsid w:val="007F1800"/>
    <w:rsid w:val="007F1AAC"/>
    <w:rsid w:val="007F1BFB"/>
    <w:rsid w:val="007F2CAB"/>
    <w:rsid w:val="007F30A2"/>
    <w:rsid w:val="007F3602"/>
    <w:rsid w:val="007F3B73"/>
    <w:rsid w:val="007F3FA6"/>
    <w:rsid w:val="007F47DB"/>
    <w:rsid w:val="007F4B15"/>
    <w:rsid w:val="007F50DA"/>
    <w:rsid w:val="007F568C"/>
    <w:rsid w:val="007F56D1"/>
    <w:rsid w:val="007F5A2B"/>
    <w:rsid w:val="007F64FA"/>
    <w:rsid w:val="007F6E28"/>
    <w:rsid w:val="007F7574"/>
    <w:rsid w:val="007F7FCF"/>
    <w:rsid w:val="00800CA7"/>
    <w:rsid w:val="00801507"/>
    <w:rsid w:val="00801B0D"/>
    <w:rsid w:val="00801B4F"/>
    <w:rsid w:val="008022DA"/>
    <w:rsid w:val="00802777"/>
    <w:rsid w:val="00802BC0"/>
    <w:rsid w:val="008031B5"/>
    <w:rsid w:val="00803829"/>
    <w:rsid w:val="0080482B"/>
    <w:rsid w:val="0080542E"/>
    <w:rsid w:val="0080543F"/>
    <w:rsid w:val="008056CA"/>
    <w:rsid w:val="008067BC"/>
    <w:rsid w:val="00807293"/>
    <w:rsid w:val="008100FD"/>
    <w:rsid w:val="008102F4"/>
    <w:rsid w:val="00810A91"/>
    <w:rsid w:val="00811DED"/>
    <w:rsid w:val="008120BC"/>
    <w:rsid w:val="0081239A"/>
    <w:rsid w:val="008125C6"/>
    <w:rsid w:val="00813067"/>
    <w:rsid w:val="00813B60"/>
    <w:rsid w:val="00813CF1"/>
    <w:rsid w:val="00813F4C"/>
    <w:rsid w:val="0081414F"/>
    <w:rsid w:val="008141F1"/>
    <w:rsid w:val="008151D0"/>
    <w:rsid w:val="00815221"/>
    <w:rsid w:val="008154B8"/>
    <w:rsid w:val="00815FC7"/>
    <w:rsid w:val="0081630E"/>
    <w:rsid w:val="008167EE"/>
    <w:rsid w:val="00816AA9"/>
    <w:rsid w:val="00816FB9"/>
    <w:rsid w:val="0081730F"/>
    <w:rsid w:val="0082015A"/>
    <w:rsid w:val="00820E11"/>
    <w:rsid w:val="008218C9"/>
    <w:rsid w:val="0082190B"/>
    <w:rsid w:val="00821950"/>
    <w:rsid w:val="008220AE"/>
    <w:rsid w:val="008222B0"/>
    <w:rsid w:val="00822994"/>
    <w:rsid w:val="00822A0A"/>
    <w:rsid w:val="00822DE8"/>
    <w:rsid w:val="008233FE"/>
    <w:rsid w:val="00823A01"/>
    <w:rsid w:val="00823C48"/>
    <w:rsid w:val="0082406F"/>
    <w:rsid w:val="00824935"/>
    <w:rsid w:val="00824D3A"/>
    <w:rsid w:val="00824EC3"/>
    <w:rsid w:val="00825102"/>
    <w:rsid w:val="008254A3"/>
    <w:rsid w:val="00825652"/>
    <w:rsid w:val="00826689"/>
    <w:rsid w:val="00826A49"/>
    <w:rsid w:val="00826BF1"/>
    <w:rsid w:val="00826FFA"/>
    <w:rsid w:val="00830138"/>
    <w:rsid w:val="00830C75"/>
    <w:rsid w:val="0083173B"/>
    <w:rsid w:val="0083192F"/>
    <w:rsid w:val="00831996"/>
    <w:rsid w:val="00831DA1"/>
    <w:rsid w:val="008327B8"/>
    <w:rsid w:val="00832C48"/>
    <w:rsid w:val="00832FD1"/>
    <w:rsid w:val="00832FD6"/>
    <w:rsid w:val="00833377"/>
    <w:rsid w:val="008333B6"/>
    <w:rsid w:val="00833549"/>
    <w:rsid w:val="008347D3"/>
    <w:rsid w:val="00834C30"/>
    <w:rsid w:val="00835112"/>
    <w:rsid w:val="00835294"/>
    <w:rsid w:val="008354D5"/>
    <w:rsid w:val="0083561D"/>
    <w:rsid w:val="00835EDD"/>
    <w:rsid w:val="0083662F"/>
    <w:rsid w:val="00836899"/>
    <w:rsid w:val="00837355"/>
    <w:rsid w:val="008373DB"/>
    <w:rsid w:val="008378AF"/>
    <w:rsid w:val="00840156"/>
    <w:rsid w:val="00840317"/>
    <w:rsid w:val="00840626"/>
    <w:rsid w:val="0084083A"/>
    <w:rsid w:val="00840AF4"/>
    <w:rsid w:val="00840B26"/>
    <w:rsid w:val="008417AD"/>
    <w:rsid w:val="00841C86"/>
    <w:rsid w:val="00842481"/>
    <w:rsid w:val="0084261E"/>
    <w:rsid w:val="00842668"/>
    <w:rsid w:val="008430B7"/>
    <w:rsid w:val="0084325D"/>
    <w:rsid w:val="008435CB"/>
    <w:rsid w:val="008437D3"/>
    <w:rsid w:val="00843831"/>
    <w:rsid w:val="0084389A"/>
    <w:rsid w:val="00843CE7"/>
    <w:rsid w:val="00843F4C"/>
    <w:rsid w:val="00844552"/>
    <w:rsid w:val="0084590D"/>
    <w:rsid w:val="00845E60"/>
    <w:rsid w:val="008463FC"/>
    <w:rsid w:val="00846E52"/>
    <w:rsid w:val="00846F29"/>
    <w:rsid w:val="00847E22"/>
    <w:rsid w:val="008501C2"/>
    <w:rsid w:val="008505E2"/>
    <w:rsid w:val="00850ECC"/>
    <w:rsid w:val="00850EF6"/>
    <w:rsid w:val="00850F4E"/>
    <w:rsid w:val="00851E94"/>
    <w:rsid w:val="00851EBF"/>
    <w:rsid w:val="0085237A"/>
    <w:rsid w:val="00852887"/>
    <w:rsid w:val="00852920"/>
    <w:rsid w:val="00853063"/>
    <w:rsid w:val="0085368C"/>
    <w:rsid w:val="00853BD3"/>
    <w:rsid w:val="00853FF4"/>
    <w:rsid w:val="008543DA"/>
    <w:rsid w:val="00854551"/>
    <w:rsid w:val="0085455E"/>
    <w:rsid w:val="0085471A"/>
    <w:rsid w:val="00855071"/>
    <w:rsid w:val="008556CF"/>
    <w:rsid w:val="00855942"/>
    <w:rsid w:val="00856258"/>
    <w:rsid w:val="00856816"/>
    <w:rsid w:val="0085725E"/>
    <w:rsid w:val="00857DFC"/>
    <w:rsid w:val="008609D8"/>
    <w:rsid w:val="00860A2B"/>
    <w:rsid w:val="00860FB6"/>
    <w:rsid w:val="00860FBE"/>
    <w:rsid w:val="00861066"/>
    <w:rsid w:val="008616D9"/>
    <w:rsid w:val="00862768"/>
    <w:rsid w:val="00862879"/>
    <w:rsid w:val="008628E9"/>
    <w:rsid w:val="00862A7F"/>
    <w:rsid w:val="00863259"/>
    <w:rsid w:val="008646E5"/>
    <w:rsid w:val="0086527F"/>
    <w:rsid w:val="00865C02"/>
    <w:rsid w:val="008660ED"/>
    <w:rsid w:val="008661F4"/>
    <w:rsid w:val="0086678D"/>
    <w:rsid w:val="008668B5"/>
    <w:rsid w:val="00866A58"/>
    <w:rsid w:val="00866F9F"/>
    <w:rsid w:val="00870799"/>
    <w:rsid w:val="0087085B"/>
    <w:rsid w:val="00870A35"/>
    <w:rsid w:val="00872024"/>
    <w:rsid w:val="008723C1"/>
    <w:rsid w:val="00872753"/>
    <w:rsid w:val="00873CD8"/>
    <w:rsid w:val="008741B0"/>
    <w:rsid w:val="008750AF"/>
    <w:rsid w:val="008753D3"/>
    <w:rsid w:val="0087564B"/>
    <w:rsid w:val="00875708"/>
    <w:rsid w:val="00875BE3"/>
    <w:rsid w:val="008765B2"/>
    <w:rsid w:val="008765EB"/>
    <w:rsid w:val="00876A63"/>
    <w:rsid w:val="00876AC0"/>
    <w:rsid w:val="00876F3C"/>
    <w:rsid w:val="00876F96"/>
    <w:rsid w:val="00877560"/>
    <w:rsid w:val="008779DA"/>
    <w:rsid w:val="00877BEE"/>
    <w:rsid w:val="00877F0C"/>
    <w:rsid w:val="00877FF5"/>
    <w:rsid w:val="00880AF5"/>
    <w:rsid w:val="0088120F"/>
    <w:rsid w:val="0088181F"/>
    <w:rsid w:val="00882291"/>
    <w:rsid w:val="00882569"/>
    <w:rsid w:val="008826C4"/>
    <w:rsid w:val="0088289C"/>
    <w:rsid w:val="00882C6E"/>
    <w:rsid w:val="00882DAA"/>
    <w:rsid w:val="00883366"/>
    <w:rsid w:val="0088359D"/>
    <w:rsid w:val="0088393D"/>
    <w:rsid w:val="00883F93"/>
    <w:rsid w:val="00884B45"/>
    <w:rsid w:val="00884B7A"/>
    <w:rsid w:val="00886C34"/>
    <w:rsid w:val="008874CD"/>
    <w:rsid w:val="00887846"/>
    <w:rsid w:val="008879D0"/>
    <w:rsid w:val="00887DBA"/>
    <w:rsid w:val="0089050B"/>
    <w:rsid w:val="00890FD4"/>
    <w:rsid w:val="008912AB"/>
    <w:rsid w:val="008915A7"/>
    <w:rsid w:val="008918B6"/>
    <w:rsid w:val="00892A2C"/>
    <w:rsid w:val="00892C65"/>
    <w:rsid w:val="00893AB7"/>
    <w:rsid w:val="00894A41"/>
    <w:rsid w:val="00895B2F"/>
    <w:rsid w:val="00895F7B"/>
    <w:rsid w:val="008962CF"/>
    <w:rsid w:val="00896A30"/>
    <w:rsid w:val="008A0032"/>
    <w:rsid w:val="008A06BF"/>
    <w:rsid w:val="008A0936"/>
    <w:rsid w:val="008A0BF0"/>
    <w:rsid w:val="008A0F87"/>
    <w:rsid w:val="008A100E"/>
    <w:rsid w:val="008A110D"/>
    <w:rsid w:val="008A11A0"/>
    <w:rsid w:val="008A19F6"/>
    <w:rsid w:val="008A1A0A"/>
    <w:rsid w:val="008A1CE9"/>
    <w:rsid w:val="008A2AE0"/>
    <w:rsid w:val="008A2C6F"/>
    <w:rsid w:val="008A2EA3"/>
    <w:rsid w:val="008A3019"/>
    <w:rsid w:val="008A35A0"/>
    <w:rsid w:val="008A3B2A"/>
    <w:rsid w:val="008A3BAA"/>
    <w:rsid w:val="008A505A"/>
    <w:rsid w:val="008A514F"/>
    <w:rsid w:val="008A532E"/>
    <w:rsid w:val="008A5459"/>
    <w:rsid w:val="008A56C8"/>
    <w:rsid w:val="008A5B5F"/>
    <w:rsid w:val="008A5DBB"/>
    <w:rsid w:val="008A6488"/>
    <w:rsid w:val="008A64DE"/>
    <w:rsid w:val="008A77DC"/>
    <w:rsid w:val="008A78AE"/>
    <w:rsid w:val="008A7FD2"/>
    <w:rsid w:val="008B029A"/>
    <w:rsid w:val="008B03EE"/>
    <w:rsid w:val="008B0A80"/>
    <w:rsid w:val="008B18FC"/>
    <w:rsid w:val="008B1916"/>
    <w:rsid w:val="008B1E71"/>
    <w:rsid w:val="008B2D3B"/>
    <w:rsid w:val="008B378C"/>
    <w:rsid w:val="008B379C"/>
    <w:rsid w:val="008B3A65"/>
    <w:rsid w:val="008B3D23"/>
    <w:rsid w:val="008B44B4"/>
    <w:rsid w:val="008B52F2"/>
    <w:rsid w:val="008B588A"/>
    <w:rsid w:val="008B5DE1"/>
    <w:rsid w:val="008B6025"/>
    <w:rsid w:val="008B6869"/>
    <w:rsid w:val="008B6D0A"/>
    <w:rsid w:val="008B6F96"/>
    <w:rsid w:val="008B7150"/>
    <w:rsid w:val="008B7240"/>
    <w:rsid w:val="008B77DF"/>
    <w:rsid w:val="008B7C67"/>
    <w:rsid w:val="008C0196"/>
    <w:rsid w:val="008C01AE"/>
    <w:rsid w:val="008C0201"/>
    <w:rsid w:val="008C09DE"/>
    <w:rsid w:val="008C0C03"/>
    <w:rsid w:val="008C18E9"/>
    <w:rsid w:val="008C1F0E"/>
    <w:rsid w:val="008C2367"/>
    <w:rsid w:val="008C27A7"/>
    <w:rsid w:val="008C2948"/>
    <w:rsid w:val="008C2F02"/>
    <w:rsid w:val="008C2F3D"/>
    <w:rsid w:val="008C38D4"/>
    <w:rsid w:val="008C3C96"/>
    <w:rsid w:val="008C4301"/>
    <w:rsid w:val="008C4355"/>
    <w:rsid w:val="008C63C5"/>
    <w:rsid w:val="008C66DE"/>
    <w:rsid w:val="008C6853"/>
    <w:rsid w:val="008C7033"/>
    <w:rsid w:val="008C756E"/>
    <w:rsid w:val="008C75E2"/>
    <w:rsid w:val="008C7B40"/>
    <w:rsid w:val="008C7B6E"/>
    <w:rsid w:val="008D00BD"/>
    <w:rsid w:val="008D0207"/>
    <w:rsid w:val="008D0D4A"/>
    <w:rsid w:val="008D102A"/>
    <w:rsid w:val="008D122D"/>
    <w:rsid w:val="008D153D"/>
    <w:rsid w:val="008D185C"/>
    <w:rsid w:val="008D1B58"/>
    <w:rsid w:val="008D213C"/>
    <w:rsid w:val="008D224C"/>
    <w:rsid w:val="008D2D9A"/>
    <w:rsid w:val="008D36D9"/>
    <w:rsid w:val="008D3983"/>
    <w:rsid w:val="008D3B28"/>
    <w:rsid w:val="008D3C26"/>
    <w:rsid w:val="008D3D4C"/>
    <w:rsid w:val="008D3E5F"/>
    <w:rsid w:val="008D4BAB"/>
    <w:rsid w:val="008D5608"/>
    <w:rsid w:val="008D5755"/>
    <w:rsid w:val="008D58AA"/>
    <w:rsid w:val="008D6395"/>
    <w:rsid w:val="008D6453"/>
    <w:rsid w:val="008D68F4"/>
    <w:rsid w:val="008D6BBF"/>
    <w:rsid w:val="008D7112"/>
    <w:rsid w:val="008D7246"/>
    <w:rsid w:val="008D75B8"/>
    <w:rsid w:val="008D794D"/>
    <w:rsid w:val="008D7A54"/>
    <w:rsid w:val="008D7DB6"/>
    <w:rsid w:val="008D7E80"/>
    <w:rsid w:val="008E07C7"/>
    <w:rsid w:val="008E0A80"/>
    <w:rsid w:val="008E0A98"/>
    <w:rsid w:val="008E0F31"/>
    <w:rsid w:val="008E10FE"/>
    <w:rsid w:val="008E11FC"/>
    <w:rsid w:val="008E12B7"/>
    <w:rsid w:val="008E148F"/>
    <w:rsid w:val="008E156C"/>
    <w:rsid w:val="008E2972"/>
    <w:rsid w:val="008E2AF0"/>
    <w:rsid w:val="008E2BD5"/>
    <w:rsid w:val="008E334F"/>
    <w:rsid w:val="008E34D4"/>
    <w:rsid w:val="008E3520"/>
    <w:rsid w:val="008E38E8"/>
    <w:rsid w:val="008E3D2A"/>
    <w:rsid w:val="008E425B"/>
    <w:rsid w:val="008E4571"/>
    <w:rsid w:val="008E4856"/>
    <w:rsid w:val="008E4D84"/>
    <w:rsid w:val="008E54F2"/>
    <w:rsid w:val="008E6298"/>
    <w:rsid w:val="008E679F"/>
    <w:rsid w:val="008E715E"/>
    <w:rsid w:val="008E71B9"/>
    <w:rsid w:val="008E77FC"/>
    <w:rsid w:val="008E7E69"/>
    <w:rsid w:val="008F02D0"/>
    <w:rsid w:val="008F16EF"/>
    <w:rsid w:val="008F1DB8"/>
    <w:rsid w:val="008F1DFF"/>
    <w:rsid w:val="008F1ED1"/>
    <w:rsid w:val="008F239A"/>
    <w:rsid w:val="008F26BF"/>
    <w:rsid w:val="008F2AD8"/>
    <w:rsid w:val="008F2DEA"/>
    <w:rsid w:val="008F2EAA"/>
    <w:rsid w:val="008F33B9"/>
    <w:rsid w:val="008F396D"/>
    <w:rsid w:val="008F441B"/>
    <w:rsid w:val="008F48DB"/>
    <w:rsid w:val="008F4E9E"/>
    <w:rsid w:val="008F4EBE"/>
    <w:rsid w:val="008F4FAC"/>
    <w:rsid w:val="008F606F"/>
    <w:rsid w:val="008F623B"/>
    <w:rsid w:val="008F696D"/>
    <w:rsid w:val="008F69F6"/>
    <w:rsid w:val="008F6F89"/>
    <w:rsid w:val="008F73B0"/>
    <w:rsid w:val="008F7CC0"/>
    <w:rsid w:val="008F7D8C"/>
    <w:rsid w:val="009008D9"/>
    <w:rsid w:val="00900ACF"/>
    <w:rsid w:val="00900B67"/>
    <w:rsid w:val="009010B4"/>
    <w:rsid w:val="009012FF"/>
    <w:rsid w:val="00901BB4"/>
    <w:rsid w:val="00901E90"/>
    <w:rsid w:val="00901F04"/>
    <w:rsid w:val="0090240A"/>
    <w:rsid w:val="00902BA6"/>
    <w:rsid w:val="00902E69"/>
    <w:rsid w:val="00903715"/>
    <w:rsid w:val="00903CD9"/>
    <w:rsid w:val="00903D75"/>
    <w:rsid w:val="00903F1E"/>
    <w:rsid w:val="00904C6F"/>
    <w:rsid w:val="009059CA"/>
    <w:rsid w:val="00905DBE"/>
    <w:rsid w:val="00906DE2"/>
    <w:rsid w:val="00907C1C"/>
    <w:rsid w:val="00910A20"/>
    <w:rsid w:val="00910D26"/>
    <w:rsid w:val="0091154E"/>
    <w:rsid w:val="00911EF2"/>
    <w:rsid w:val="00911FB6"/>
    <w:rsid w:val="0091234F"/>
    <w:rsid w:val="0091267A"/>
    <w:rsid w:val="00912B0F"/>
    <w:rsid w:val="009135CB"/>
    <w:rsid w:val="00913CB9"/>
    <w:rsid w:val="00913F23"/>
    <w:rsid w:val="00915627"/>
    <w:rsid w:val="0091628A"/>
    <w:rsid w:val="00916B90"/>
    <w:rsid w:val="00916C2D"/>
    <w:rsid w:val="00916CC7"/>
    <w:rsid w:val="0091705E"/>
    <w:rsid w:val="00917112"/>
    <w:rsid w:val="009171F9"/>
    <w:rsid w:val="0091729C"/>
    <w:rsid w:val="009172DB"/>
    <w:rsid w:val="00917E68"/>
    <w:rsid w:val="0092062C"/>
    <w:rsid w:val="00921B0C"/>
    <w:rsid w:val="00922450"/>
    <w:rsid w:val="00922C1F"/>
    <w:rsid w:val="00922EAF"/>
    <w:rsid w:val="009230DC"/>
    <w:rsid w:val="00924587"/>
    <w:rsid w:val="009245FA"/>
    <w:rsid w:val="00926934"/>
    <w:rsid w:val="009269ED"/>
    <w:rsid w:val="00926B75"/>
    <w:rsid w:val="00926E39"/>
    <w:rsid w:val="00926F45"/>
    <w:rsid w:val="009272E3"/>
    <w:rsid w:val="00927DBD"/>
    <w:rsid w:val="00927E1F"/>
    <w:rsid w:val="009303FC"/>
    <w:rsid w:val="009309D1"/>
    <w:rsid w:val="00930B6B"/>
    <w:rsid w:val="00930C57"/>
    <w:rsid w:val="00930C58"/>
    <w:rsid w:val="00930F43"/>
    <w:rsid w:val="00931517"/>
    <w:rsid w:val="0093195B"/>
    <w:rsid w:val="00931AE0"/>
    <w:rsid w:val="00931C36"/>
    <w:rsid w:val="00931E5D"/>
    <w:rsid w:val="0093219F"/>
    <w:rsid w:val="00932225"/>
    <w:rsid w:val="0093266A"/>
    <w:rsid w:val="00933321"/>
    <w:rsid w:val="00933A5B"/>
    <w:rsid w:val="009342AC"/>
    <w:rsid w:val="009348CE"/>
    <w:rsid w:val="00934F3F"/>
    <w:rsid w:val="0093549B"/>
    <w:rsid w:val="009356F2"/>
    <w:rsid w:val="00935BFE"/>
    <w:rsid w:val="00935D73"/>
    <w:rsid w:val="00935D8C"/>
    <w:rsid w:val="00936C8C"/>
    <w:rsid w:val="009377A2"/>
    <w:rsid w:val="00937A32"/>
    <w:rsid w:val="00937BEB"/>
    <w:rsid w:val="00940120"/>
    <w:rsid w:val="00940894"/>
    <w:rsid w:val="00940D87"/>
    <w:rsid w:val="00940FFB"/>
    <w:rsid w:val="00941007"/>
    <w:rsid w:val="009411AA"/>
    <w:rsid w:val="00941259"/>
    <w:rsid w:val="0094125F"/>
    <w:rsid w:val="00941269"/>
    <w:rsid w:val="00941863"/>
    <w:rsid w:val="00941B54"/>
    <w:rsid w:val="00941E88"/>
    <w:rsid w:val="009427C3"/>
    <w:rsid w:val="009439C6"/>
    <w:rsid w:val="00943CD3"/>
    <w:rsid w:val="00944320"/>
    <w:rsid w:val="00944A56"/>
    <w:rsid w:val="00944BD5"/>
    <w:rsid w:val="0094514D"/>
    <w:rsid w:val="009451EE"/>
    <w:rsid w:val="00945527"/>
    <w:rsid w:val="0094600A"/>
    <w:rsid w:val="00946EBE"/>
    <w:rsid w:val="00947600"/>
    <w:rsid w:val="00947B43"/>
    <w:rsid w:val="00947B83"/>
    <w:rsid w:val="00950410"/>
    <w:rsid w:val="00950D8F"/>
    <w:rsid w:val="00950DAC"/>
    <w:rsid w:val="0095151F"/>
    <w:rsid w:val="00951988"/>
    <w:rsid w:val="00951E80"/>
    <w:rsid w:val="00951F99"/>
    <w:rsid w:val="00952936"/>
    <w:rsid w:val="009531C0"/>
    <w:rsid w:val="00953FE3"/>
    <w:rsid w:val="00954027"/>
    <w:rsid w:val="00954395"/>
    <w:rsid w:val="009543D3"/>
    <w:rsid w:val="00954452"/>
    <w:rsid w:val="009548B0"/>
    <w:rsid w:val="00954B81"/>
    <w:rsid w:val="00955752"/>
    <w:rsid w:val="00955AB0"/>
    <w:rsid w:val="00955BF2"/>
    <w:rsid w:val="009560A4"/>
    <w:rsid w:val="0095612F"/>
    <w:rsid w:val="00956941"/>
    <w:rsid w:val="00956AA0"/>
    <w:rsid w:val="00956DF2"/>
    <w:rsid w:val="00957CC6"/>
    <w:rsid w:val="0096077B"/>
    <w:rsid w:val="009607D2"/>
    <w:rsid w:val="0096089B"/>
    <w:rsid w:val="00960961"/>
    <w:rsid w:val="00960A41"/>
    <w:rsid w:val="00960CC6"/>
    <w:rsid w:val="00961B96"/>
    <w:rsid w:val="00962917"/>
    <w:rsid w:val="00962A6B"/>
    <w:rsid w:val="00963191"/>
    <w:rsid w:val="009634AF"/>
    <w:rsid w:val="00963799"/>
    <w:rsid w:val="00963B63"/>
    <w:rsid w:val="00963FF5"/>
    <w:rsid w:val="009643CF"/>
    <w:rsid w:val="00964982"/>
    <w:rsid w:val="00964E00"/>
    <w:rsid w:val="0096591D"/>
    <w:rsid w:val="009668DD"/>
    <w:rsid w:val="00966C64"/>
    <w:rsid w:val="00967660"/>
    <w:rsid w:val="00967A75"/>
    <w:rsid w:val="00967E10"/>
    <w:rsid w:val="00967ED8"/>
    <w:rsid w:val="009711C1"/>
    <w:rsid w:val="009711F5"/>
    <w:rsid w:val="00971708"/>
    <w:rsid w:val="00971BDF"/>
    <w:rsid w:val="00971EE7"/>
    <w:rsid w:val="00971F3B"/>
    <w:rsid w:val="009729C2"/>
    <w:rsid w:val="00972BFE"/>
    <w:rsid w:val="00972CA2"/>
    <w:rsid w:val="00973EFD"/>
    <w:rsid w:val="009741FC"/>
    <w:rsid w:val="009742FD"/>
    <w:rsid w:val="0097497B"/>
    <w:rsid w:val="00974C65"/>
    <w:rsid w:val="00975386"/>
    <w:rsid w:val="009755F2"/>
    <w:rsid w:val="00975690"/>
    <w:rsid w:val="00975B79"/>
    <w:rsid w:val="00975F64"/>
    <w:rsid w:val="00976502"/>
    <w:rsid w:val="00976727"/>
    <w:rsid w:val="009770EF"/>
    <w:rsid w:val="00977C0E"/>
    <w:rsid w:val="00977C27"/>
    <w:rsid w:val="00977E7B"/>
    <w:rsid w:val="00977F3D"/>
    <w:rsid w:val="0098044D"/>
    <w:rsid w:val="00980571"/>
    <w:rsid w:val="00980C61"/>
    <w:rsid w:val="00980FA9"/>
    <w:rsid w:val="009812BD"/>
    <w:rsid w:val="00981302"/>
    <w:rsid w:val="009816F9"/>
    <w:rsid w:val="00981855"/>
    <w:rsid w:val="00982090"/>
    <w:rsid w:val="00982686"/>
    <w:rsid w:val="00983717"/>
    <w:rsid w:val="009843A1"/>
    <w:rsid w:val="00985003"/>
    <w:rsid w:val="009854F4"/>
    <w:rsid w:val="00985544"/>
    <w:rsid w:val="009856E0"/>
    <w:rsid w:val="00985D44"/>
    <w:rsid w:val="00985E3D"/>
    <w:rsid w:val="00985F44"/>
    <w:rsid w:val="009860F4"/>
    <w:rsid w:val="009868B9"/>
    <w:rsid w:val="00986A08"/>
    <w:rsid w:val="00987381"/>
    <w:rsid w:val="00987675"/>
    <w:rsid w:val="009879F9"/>
    <w:rsid w:val="009901DF"/>
    <w:rsid w:val="0099058A"/>
    <w:rsid w:val="009912CF"/>
    <w:rsid w:val="009921B8"/>
    <w:rsid w:val="0099221C"/>
    <w:rsid w:val="009924DC"/>
    <w:rsid w:val="009929DF"/>
    <w:rsid w:val="00992DBC"/>
    <w:rsid w:val="00992EB8"/>
    <w:rsid w:val="009932DD"/>
    <w:rsid w:val="00993303"/>
    <w:rsid w:val="00993C5A"/>
    <w:rsid w:val="00993EE0"/>
    <w:rsid w:val="0099407C"/>
    <w:rsid w:val="0099424D"/>
    <w:rsid w:val="00994865"/>
    <w:rsid w:val="0099497A"/>
    <w:rsid w:val="0099537C"/>
    <w:rsid w:val="009956F9"/>
    <w:rsid w:val="0099616F"/>
    <w:rsid w:val="009962AC"/>
    <w:rsid w:val="009962C5"/>
    <w:rsid w:val="0099651E"/>
    <w:rsid w:val="0099658C"/>
    <w:rsid w:val="00996A9E"/>
    <w:rsid w:val="00996FA7"/>
    <w:rsid w:val="0099755F"/>
    <w:rsid w:val="0099766B"/>
    <w:rsid w:val="009A0386"/>
    <w:rsid w:val="009A0708"/>
    <w:rsid w:val="009A0FCA"/>
    <w:rsid w:val="009A1741"/>
    <w:rsid w:val="009A19E6"/>
    <w:rsid w:val="009A2021"/>
    <w:rsid w:val="009A255C"/>
    <w:rsid w:val="009A2604"/>
    <w:rsid w:val="009A2618"/>
    <w:rsid w:val="009A27A3"/>
    <w:rsid w:val="009A2C89"/>
    <w:rsid w:val="009A3658"/>
    <w:rsid w:val="009A372E"/>
    <w:rsid w:val="009A3FB8"/>
    <w:rsid w:val="009A4567"/>
    <w:rsid w:val="009A4EC1"/>
    <w:rsid w:val="009A5765"/>
    <w:rsid w:val="009A578E"/>
    <w:rsid w:val="009A5BB5"/>
    <w:rsid w:val="009A63F1"/>
    <w:rsid w:val="009A696F"/>
    <w:rsid w:val="009A7176"/>
    <w:rsid w:val="009A783B"/>
    <w:rsid w:val="009A7B96"/>
    <w:rsid w:val="009B03E3"/>
    <w:rsid w:val="009B09F9"/>
    <w:rsid w:val="009B0ADA"/>
    <w:rsid w:val="009B0B0B"/>
    <w:rsid w:val="009B0CEA"/>
    <w:rsid w:val="009B0DF3"/>
    <w:rsid w:val="009B1402"/>
    <w:rsid w:val="009B1C10"/>
    <w:rsid w:val="009B1FFB"/>
    <w:rsid w:val="009B2A61"/>
    <w:rsid w:val="009B2CFD"/>
    <w:rsid w:val="009B31EB"/>
    <w:rsid w:val="009B34E1"/>
    <w:rsid w:val="009B4773"/>
    <w:rsid w:val="009B478D"/>
    <w:rsid w:val="009B48AC"/>
    <w:rsid w:val="009B5FF0"/>
    <w:rsid w:val="009B6091"/>
    <w:rsid w:val="009B6584"/>
    <w:rsid w:val="009B6B38"/>
    <w:rsid w:val="009B6D89"/>
    <w:rsid w:val="009B6DDF"/>
    <w:rsid w:val="009B6F9E"/>
    <w:rsid w:val="009B7F94"/>
    <w:rsid w:val="009C03B3"/>
    <w:rsid w:val="009C0A14"/>
    <w:rsid w:val="009C0AFE"/>
    <w:rsid w:val="009C0FD8"/>
    <w:rsid w:val="009C1197"/>
    <w:rsid w:val="009C1448"/>
    <w:rsid w:val="009C159A"/>
    <w:rsid w:val="009C1AAB"/>
    <w:rsid w:val="009C217D"/>
    <w:rsid w:val="009C2571"/>
    <w:rsid w:val="009C2DE7"/>
    <w:rsid w:val="009C33EE"/>
    <w:rsid w:val="009C41D2"/>
    <w:rsid w:val="009C4787"/>
    <w:rsid w:val="009C4818"/>
    <w:rsid w:val="009C4A44"/>
    <w:rsid w:val="009C51BA"/>
    <w:rsid w:val="009C52D3"/>
    <w:rsid w:val="009C5D38"/>
    <w:rsid w:val="009C6879"/>
    <w:rsid w:val="009C6F95"/>
    <w:rsid w:val="009C7919"/>
    <w:rsid w:val="009D0256"/>
    <w:rsid w:val="009D0388"/>
    <w:rsid w:val="009D04D9"/>
    <w:rsid w:val="009D1593"/>
    <w:rsid w:val="009D1774"/>
    <w:rsid w:val="009D1A32"/>
    <w:rsid w:val="009D203F"/>
    <w:rsid w:val="009D20A7"/>
    <w:rsid w:val="009D224F"/>
    <w:rsid w:val="009D2D59"/>
    <w:rsid w:val="009D2D7A"/>
    <w:rsid w:val="009D322C"/>
    <w:rsid w:val="009D3529"/>
    <w:rsid w:val="009D354C"/>
    <w:rsid w:val="009D41DF"/>
    <w:rsid w:val="009D421D"/>
    <w:rsid w:val="009D4403"/>
    <w:rsid w:val="009D4F06"/>
    <w:rsid w:val="009D5259"/>
    <w:rsid w:val="009D5895"/>
    <w:rsid w:val="009D5AF8"/>
    <w:rsid w:val="009D6B12"/>
    <w:rsid w:val="009D6C20"/>
    <w:rsid w:val="009D6DCA"/>
    <w:rsid w:val="009D7555"/>
    <w:rsid w:val="009E02CA"/>
    <w:rsid w:val="009E02EC"/>
    <w:rsid w:val="009E0340"/>
    <w:rsid w:val="009E0670"/>
    <w:rsid w:val="009E0B48"/>
    <w:rsid w:val="009E0BA2"/>
    <w:rsid w:val="009E0DAE"/>
    <w:rsid w:val="009E0DB5"/>
    <w:rsid w:val="009E0F64"/>
    <w:rsid w:val="009E194D"/>
    <w:rsid w:val="009E1ACB"/>
    <w:rsid w:val="009E2274"/>
    <w:rsid w:val="009E22AF"/>
    <w:rsid w:val="009E25B9"/>
    <w:rsid w:val="009E29F2"/>
    <w:rsid w:val="009E307B"/>
    <w:rsid w:val="009E37A9"/>
    <w:rsid w:val="009E39BF"/>
    <w:rsid w:val="009E3C86"/>
    <w:rsid w:val="009E438B"/>
    <w:rsid w:val="009E4A57"/>
    <w:rsid w:val="009E4F65"/>
    <w:rsid w:val="009E5005"/>
    <w:rsid w:val="009E549B"/>
    <w:rsid w:val="009E5E3F"/>
    <w:rsid w:val="009E665A"/>
    <w:rsid w:val="009E70DF"/>
    <w:rsid w:val="009E7BA8"/>
    <w:rsid w:val="009E7E6E"/>
    <w:rsid w:val="009E7E7B"/>
    <w:rsid w:val="009E7F68"/>
    <w:rsid w:val="009F0800"/>
    <w:rsid w:val="009F09D7"/>
    <w:rsid w:val="009F0E58"/>
    <w:rsid w:val="009F1120"/>
    <w:rsid w:val="009F1507"/>
    <w:rsid w:val="009F2D1B"/>
    <w:rsid w:val="009F2F9B"/>
    <w:rsid w:val="009F3055"/>
    <w:rsid w:val="009F35BC"/>
    <w:rsid w:val="009F3CFD"/>
    <w:rsid w:val="009F4A49"/>
    <w:rsid w:val="009F4BBE"/>
    <w:rsid w:val="009F50AB"/>
    <w:rsid w:val="009F50D3"/>
    <w:rsid w:val="009F6B94"/>
    <w:rsid w:val="009F6BE4"/>
    <w:rsid w:val="009F75FD"/>
    <w:rsid w:val="009F7712"/>
    <w:rsid w:val="009F7B63"/>
    <w:rsid w:val="009F7DC0"/>
    <w:rsid w:val="009F7F12"/>
    <w:rsid w:val="009F7FB7"/>
    <w:rsid w:val="00A00248"/>
    <w:rsid w:val="00A0080B"/>
    <w:rsid w:val="00A00BA0"/>
    <w:rsid w:val="00A00CDE"/>
    <w:rsid w:val="00A00D92"/>
    <w:rsid w:val="00A00F5E"/>
    <w:rsid w:val="00A0138C"/>
    <w:rsid w:val="00A021D3"/>
    <w:rsid w:val="00A02663"/>
    <w:rsid w:val="00A030CB"/>
    <w:rsid w:val="00A03695"/>
    <w:rsid w:val="00A0379A"/>
    <w:rsid w:val="00A03C34"/>
    <w:rsid w:val="00A04237"/>
    <w:rsid w:val="00A04399"/>
    <w:rsid w:val="00A04725"/>
    <w:rsid w:val="00A05147"/>
    <w:rsid w:val="00A05202"/>
    <w:rsid w:val="00A056F4"/>
    <w:rsid w:val="00A05993"/>
    <w:rsid w:val="00A0599D"/>
    <w:rsid w:val="00A05F0F"/>
    <w:rsid w:val="00A06A40"/>
    <w:rsid w:val="00A06B07"/>
    <w:rsid w:val="00A06B7C"/>
    <w:rsid w:val="00A1071D"/>
    <w:rsid w:val="00A10BDF"/>
    <w:rsid w:val="00A11074"/>
    <w:rsid w:val="00A11EA2"/>
    <w:rsid w:val="00A12194"/>
    <w:rsid w:val="00A12547"/>
    <w:rsid w:val="00A1257C"/>
    <w:rsid w:val="00A12648"/>
    <w:rsid w:val="00A132E6"/>
    <w:rsid w:val="00A13AE2"/>
    <w:rsid w:val="00A143EE"/>
    <w:rsid w:val="00A14C8E"/>
    <w:rsid w:val="00A152BA"/>
    <w:rsid w:val="00A15711"/>
    <w:rsid w:val="00A15819"/>
    <w:rsid w:val="00A16A79"/>
    <w:rsid w:val="00A1714E"/>
    <w:rsid w:val="00A173F9"/>
    <w:rsid w:val="00A17525"/>
    <w:rsid w:val="00A17699"/>
    <w:rsid w:val="00A17759"/>
    <w:rsid w:val="00A17946"/>
    <w:rsid w:val="00A17B60"/>
    <w:rsid w:val="00A212B2"/>
    <w:rsid w:val="00A21AFE"/>
    <w:rsid w:val="00A22371"/>
    <w:rsid w:val="00A224EE"/>
    <w:rsid w:val="00A225BB"/>
    <w:rsid w:val="00A22BE7"/>
    <w:rsid w:val="00A233E6"/>
    <w:rsid w:val="00A23BE0"/>
    <w:rsid w:val="00A23E0E"/>
    <w:rsid w:val="00A23EA2"/>
    <w:rsid w:val="00A23F42"/>
    <w:rsid w:val="00A23FBB"/>
    <w:rsid w:val="00A243DF"/>
    <w:rsid w:val="00A24E56"/>
    <w:rsid w:val="00A25112"/>
    <w:rsid w:val="00A255B7"/>
    <w:rsid w:val="00A25EFE"/>
    <w:rsid w:val="00A25F02"/>
    <w:rsid w:val="00A26546"/>
    <w:rsid w:val="00A2681F"/>
    <w:rsid w:val="00A26CAD"/>
    <w:rsid w:val="00A26DD3"/>
    <w:rsid w:val="00A2763C"/>
    <w:rsid w:val="00A27B30"/>
    <w:rsid w:val="00A27DC0"/>
    <w:rsid w:val="00A27E4E"/>
    <w:rsid w:val="00A30065"/>
    <w:rsid w:val="00A307A4"/>
    <w:rsid w:val="00A30843"/>
    <w:rsid w:val="00A30C15"/>
    <w:rsid w:val="00A30F27"/>
    <w:rsid w:val="00A31AA4"/>
    <w:rsid w:val="00A31BD1"/>
    <w:rsid w:val="00A32108"/>
    <w:rsid w:val="00A331D2"/>
    <w:rsid w:val="00A33592"/>
    <w:rsid w:val="00A33825"/>
    <w:rsid w:val="00A33C39"/>
    <w:rsid w:val="00A3483E"/>
    <w:rsid w:val="00A348AF"/>
    <w:rsid w:val="00A34A5A"/>
    <w:rsid w:val="00A34CC4"/>
    <w:rsid w:val="00A34D50"/>
    <w:rsid w:val="00A34F34"/>
    <w:rsid w:val="00A35062"/>
    <w:rsid w:val="00A357A3"/>
    <w:rsid w:val="00A35A0B"/>
    <w:rsid w:val="00A37AB5"/>
    <w:rsid w:val="00A404B3"/>
    <w:rsid w:val="00A40D7B"/>
    <w:rsid w:val="00A416BC"/>
    <w:rsid w:val="00A416E0"/>
    <w:rsid w:val="00A420C1"/>
    <w:rsid w:val="00A42123"/>
    <w:rsid w:val="00A42646"/>
    <w:rsid w:val="00A42E41"/>
    <w:rsid w:val="00A42E95"/>
    <w:rsid w:val="00A436DD"/>
    <w:rsid w:val="00A43BDF"/>
    <w:rsid w:val="00A43C37"/>
    <w:rsid w:val="00A447A6"/>
    <w:rsid w:val="00A4506C"/>
    <w:rsid w:val="00A4533D"/>
    <w:rsid w:val="00A459EB"/>
    <w:rsid w:val="00A463B7"/>
    <w:rsid w:val="00A468C7"/>
    <w:rsid w:val="00A47409"/>
    <w:rsid w:val="00A4749D"/>
    <w:rsid w:val="00A47753"/>
    <w:rsid w:val="00A47D81"/>
    <w:rsid w:val="00A47E5B"/>
    <w:rsid w:val="00A503CF"/>
    <w:rsid w:val="00A50569"/>
    <w:rsid w:val="00A505CC"/>
    <w:rsid w:val="00A50D4A"/>
    <w:rsid w:val="00A51367"/>
    <w:rsid w:val="00A516A9"/>
    <w:rsid w:val="00A51936"/>
    <w:rsid w:val="00A51F62"/>
    <w:rsid w:val="00A51FAF"/>
    <w:rsid w:val="00A521ED"/>
    <w:rsid w:val="00A52407"/>
    <w:rsid w:val="00A52738"/>
    <w:rsid w:val="00A542BF"/>
    <w:rsid w:val="00A54559"/>
    <w:rsid w:val="00A54AB6"/>
    <w:rsid w:val="00A54B1C"/>
    <w:rsid w:val="00A54E77"/>
    <w:rsid w:val="00A55580"/>
    <w:rsid w:val="00A55C0A"/>
    <w:rsid w:val="00A55FCA"/>
    <w:rsid w:val="00A5622B"/>
    <w:rsid w:val="00A56E2D"/>
    <w:rsid w:val="00A56EDF"/>
    <w:rsid w:val="00A56F65"/>
    <w:rsid w:val="00A570EB"/>
    <w:rsid w:val="00A5714E"/>
    <w:rsid w:val="00A573C3"/>
    <w:rsid w:val="00A57621"/>
    <w:rsid w:val="00A60CD2"/>
    <w:rsid w:val="00A60CDA"/>
    <w:rsid w:val="00A615CD"/>
    <w:rsid w:val="00A626C9"/>
    <w:rsid w:val="00A631F0"/>
    <w:rsid w:val="00A63231"/>
    <w:rsid w:val="00A634DC"/>
    <w:rsid w:val="00A63A68"/>
    <w:rsid w:val="00A63DFB"/>
    <w:rsid w:val="00A63EE2"/>
    <w:rsid w:val="00A63F2F"/>
    <w:rsid w:val="00A643AB"/>
    <w:rsid w:val="00A643AF"/>
    <w:rsid w:val="00A644DB"/>
    <w:rsid w:val="00A64540"/>
    <w:rsid w:val="00A65707"/>
    <w:rsid w:val="00A65A30"/>
    <w:rsid w:val="00A661A8"/>
    <w:rsid w:val="00A66565"/>
    <w:rsid w:val="00A668DC"/>
    <w:rsid w:val="00A66BE4"/>
    <w:rsid w:val="00A6788E"/>
    <w:rsid w:val="00A679F5"/>
    <w:rsid w:val="00A70731"/>
    <w:rsid w:val="00A70BB4"/>
    <w:rsid w:val="00A71078"/>
    <w:rsid w:val="00A7132D"/>
    <w:rsid w:val="00A7263E"/>
    <w:rsid w:val="00A73067"/>
    <w:rsid w:val="00A732A0"/>
    <w:rsid w:val="00A74355"/>
    <w:rsid w:val="00A74A3A"/>
    <w:rsid w:val="00A74A45"/>
    <w:rsid w:val="00A74CB4"/>
    <w:rsid w:val="00A751BB"/>
    <w:rsid w:val="00A75D16"/>
    <w:rsid w:val="00A75E59"/>
    <w:rsid w:val="00A76622"/>
    <w:rsid w:val="00A768AB"/>
    <w:rsid w:val="00A770F6"/>
    <w:rsid w:val="00A7758C"/>
    <w:rsid w:val="00A77876"/>
    <w:rsid w:val="00A803C4"/>
    <w:rsid w:val="00A804B3"/>
    <w:rsid w:val="00A80980"/>
    <w:rsid w:val="00A80C3C"/>
    <w:rsid w:val="00A81FFA"/>
    <w:rsid w:val="00A82061"/>
    <w:rsid w:val="00A824DC"/>
    <w:rsid w:val="00A82718"/>
    <w:rsid w:val="00A828A5"/>
    <w:rsid w:val="00A82946"/>
    <w:rsid w:val="00A82C54"/>
    <w:rsid w:val="00A83922"/>
    <w:rsid w:val="00A839DD"/>
    <w:rsid w:val="00A83A08"/>
    <w:rsid w:val="00A83F49"/>
    <w:rsid w:val="00A84B40"/>
    <w:rsid w:val="00A85034"/>
    <w:rsid w:val="00A85557"/>
    <w:rsid w:val="00A855D8"/>
    <w:rsid w:val="00A85776"/>
    <w:rsid w:val="00A858C3"/>
    <w:rsid w:val="00A86467"/>
    <w:rsid w:val="00A866FE"/>
    <w:rsid w:val="00A86D51"/>
    <w:rsid w:val="00A87307"/>
    <w:rsid w:val="00A87349"/>
    <w:rsid w:val="00A87A60"/>
    <w:rsid w:val="00A90138"/>
    <w:rsid w:val="00A909B9"/>
    <w:rsid w:val="00A918A6"/>
    <w:rsid w:val="00A92529"/>
    <w:rsid w:val="00A929F3"/>
    <w:rsid w:val="00A92A38"/>
    <w:rsid w:val="00A92B36"/>
    <w:rsid w:val="00A92C42"/>
    <w:rsid w:val="00A93064"/>
    <w:rsid w:val="00A9318E"/>
    <w:rsid w:val="00A93261"/>
    <w:rsid w:val="00A9367D"/>
    <w:rsid w:val="00A9374A"/>
    <w:rsid w:val="00A93B01"/>
    <w:rsid w:val="00A94593"/>
    <w:rsid w:val="00A946A3"/>
    <w:rsid w:val="00A94A8F"/>
    <w:rsid w:val="00A952C9"/>
    <w:rsid w:val="00A95870"/>
    <w:rsid w:val="00A95A38"/>
    <w:rsid w:val="00A95B63"/>
    <w:rsid w:val="00A95C37"/>
    <w:rsid w:val="00A95F30"/>
    <w:rsid w:val="00A962E4"/>
    <w:rsid w:val="00A96B43"/>
    <w:rsid w:val="00A96E8C"/>
    <w:rsid w:val="00A96F54"/>
    <w:rsid w:val="00A9747F"/>
    <w:rsid w:val="00A97A63"/>
    <w:rsid w:val="00A97B05"/>
    <w:rsid w:val="00AA031E"/>
    <w:rsid w:val="00AA0542"/>
    <w:rsid w:val="00AA10E7"/>
    <w:rsid w:val="00AA13D7"/>
    <w:rsid w:val="00AA1755"/>
    <w:rsid w:val="00AA1C9F"/>
    <w:rsid w:val="00AA1D7C"/>
    <w:rsid w:val="00AA2294"/>
    <w:rsid w:val="00AA2B69"/>
    <w:rsid w:val="00AA2C6F"/>
    <w:rsid w:val="00AA3655"/>
    <w:rsid w:val="00AA3B1A"/>
    <w:rsid w:val="00AA44B7"/>
    <w:rsid w:val="00AA490E"/>
    <w:rsid w:val="00AA492F"/>
    <w:rsid w:val="00AA4992"/>
    <w:rsid w:val="00AA49E0"/>
    <w:rsid w:val="00AA4B2D"/>
    <w:rsid w:val="00AA4E63"/>
    <w:rsid w:val="00AA4F8A"/>
    <w:rsid w:val="00AA5263"/>
    <w:rsid w:val="00AA5EC5"/>
    <w:rsid w:val="00AA625A"/>
    <w:rsid w:val="00AA67C2"/>
    <w:rsid w:val="00AA69DA"/>
    <w:rsid w:val="00AA6A16"/>
    <w:rsid w:val="00AA6FBB"/>
    <w:rsid w:val="00AA72BD"/>
    <w:rsid w:val="00AB0167"/>
    <w:rsid w:val="00AB0F67"/>
    <w:rsid w:val="00AB1513"/>
    <w:rsid w:val="00AB1B26"/>
    <w:rsid w:val="00AB20F9"/>
    <w:rsid w:val="00AB32DF"/>
    <w:rsid w:val="00AB3584"/>
    <w:rsid w:val="00AB360E"/>
    <w:rsid w:val="00AB364C"/>
    <w:rsid w:val="00AB379D"/>
    <w:rsid w:val="00AB46B9"/>
    <w:rsid w:val="00AB4EB6"/>
    <w:rsid w:val="00AB5509"/>
    <w:rsid w:val="00AB5985"/>
    <w:rsid w:val="00AB5AB7"/>
    <w:rsid w:val="00AB6126"/>
    <w:rsid w:val="00AB674E"/>
    <w:rsid w:val="00AB6AE3"/>
    <w:rsid w:val="00AB7734"/>
    <w:rsid w:val="00AC0E04"/>
    <w:rsid w:val="00AC1154"/>
    <w:rsid w:val="00AC1267"/>
    <w:rsid w:val="00AC159A"/>
    <w:rsid w:val="00AC1625"/>
    <w:rsid w:val="00AC2181"/>
    <w:rsid w:val="00AC347F"/>
    <w:rsid w:val="00AC3BFE"/>
    <w:rsid w:val="00AC44C3"/>
    <w:rsid w:val="00AC477F"/>
    <w:rsid w:val="00AC5065"/>
    <w:rsid w:val="00AC5E97"/>
    <w:rsid w:val="00AC5F52"/>
    <w:rsid w:val="00AC686D"/>
    <w:rsid w:val="00AC6BFF"/>
    <w:rsid w:val="00AC7146"/>
    <w:rsid w:val="00AC7209"/>
    <w:rsid w:val="00AC7375"/>
    <w:rsid w:val="00AC7CB9"/>
    <w:rsid w:val="00AC7EDF"/>
    <w:rsid w:val="00AD035C"/>
    <w:rsid w:val="00AD10F1"/>
    <w:rsid w:val="00AD178D"/>
    <w:rsid w:val="00AD17C6"/>
    <w:rsid w:val="00AD1F82"/>
    <w:rsid w:val="00AD2244"/>
    <w:rsid w:val="00AD26A6"/>
    <w:rsid w:val="00AD2DDB"/>
    <w:rsid w:val="00AD2E0C"/>
    <w:rsid w:val="00AD2ED7"/>
    <w:rsid w:val="00AD3242"/>
    <w:rsid w:val="00AD3417"/>
    <w:rsid w:val="00AD3446"/>
    <w:rsid w:val="00AD34A0"/>
    <w:rsid w:val="00AD3C94"/>
    <w:rsid w:val="00AD4193"/>
    <w:rsid w:val="00AD45BD"/>
    <w:rsid w:val="00AD520A"/>
    <w:rsid w:val="00AD5470"/>
    <w:rsid w:val="00AD5C7B"/>
    <w:rsid w:val="00AD5EE6"/>
    <w:rsid w:val="00AD631C"/>
    <w:rsid w:val="00AD65AB"/>
    <w:rsid w:val="00AD682F"/>
    <w:rsid w:val="00AD69BB"/>
    <w:rsid w:val="00AD7359"/>
    <w:rsid w:val="00AE00A4"/>
    <w:rsid w:val="00AE06E0"/>
    <w:rsid w:val="00AE0817"/>
    <w:rsid w:val="00AE0847"/>
    <w:rsid w:val="00AE08D8"/>
    <w:rsid w:val="00AE0BA2"/>
    <w:rsid w:val="00AE14ED"/>
    <w:rsid w:val="00AE192A"/>
    <w:rsid w:val="00AE1E2E"/>
    <w:rsid w:val="00AE24CB"/>
    <w:rsid w:val="00AE255D"/>
    <w:rsid w:val="00AE2D6E"/>
    <w:rsid w:val="00AE3038"/>
    <w:rsid w:val="00AE32FA"/>
    <w:rsid w:val="00AE3547"/>
    <w:rsid w:val="00AE3D62"/>
    <w:rsid w:val="00AE4160"/>
    <w:rsid w:val="00AE4AB5"/>
    <w:rsid w:val="00AE4D41"/>
    <w:rsid w:val="00AE50A0"/>
    <w:rsid w:val="00AE5F29"/>
    <w:rsid w:val="00AE6148"/>
    <w:rsid w:val="00AE6DC5"/>
    <w:rsid w:val="00AE7030"/>
    <w:rsid w:val="00AE772F"/>
    <w:rsid w:val="00AE7B14"/>
    <w:rsid w:val="00AF04D7"/>
    <w:rsid w:val="00AF0E75"/>
    <w:rsid w:val="00AF2110"/>
    <w:rsid w:val="00AF2E73"/>
    <w:rsid w:val="00AF2F58"/>
    <w:rsid w:val="00AF32FA"/>
    <w:rsid w:val="00AF3368"/>
    <w:rsid w:val="00AF3946"/>
    <w:rsid w:val="00AF404A"/>
    <w:rsid w:val="00AF40DC"/>
    <w:rsid w:val="00AF46BD"/>
    <w:rsid w:val="00AF4846"/>
    <w:rsid w:val="00AF49F2"/>
    <w:rsid w:val="00AF5127"/>
    <w:rsid w:val="00AF59C1"/>
    <w:rsid w:val="00AF5AFE"/>
    <w:rsid w:val="00AF6B64"/>
    <w:rsid w:val="00AF6B71"/>
    <w:rsid w:val="00AF6EE7"/>
    <w:rsid w:val="00AF73F5"/>
    <w:rsid w:val="00AF78ED"/>
    <w:rsid w:val="00AF7DB0"/>
    <w:rsid w:val="00AF7E32"/>
    <w:rsid w:val="00B00D48"/>
    <w:rsid w:val="00B017D7"/>
    <w:rsid w:val="00B018F7"/>
    <w:rsid w:val="00B01C70"/>
    <w:rsid w:val="00B0249A"/>
    <w:rsid w:val="00B025E9"/>
    <w:rsid w:val="00B028B5"/>
    <w:rsid w:val="00B032C7"/>
    <w:rsid w:val="00B0359C"/>
    <w:rsid w:val="00B04212"/>
    <w:rsid w:val="00B04723"/>
    <w:rsid w:val="00B050A4"/>
    <w:rsid w:val="00B06076"/>
    <w:rsid w:val="00B06EE9"/>
    <w:rsid w:val="00B10185"/>
    <w:rsid w:val="00B101FF"/>
    <w:rsid w:val="00B113A3"/>
    <w:rsid w:val="00B1159D"/>
    <w:rsid w:val="00B11767"/>
    <w:rsid w:val="00B11B57"/>
    <w:rsid w:val="00B11EE1"/>
    <w:rsid w:val="00B12051"/>
    <w:rsid w:val="00B12849"/>
    <w:rsid w:val="00B13C48"/>
    <w:rsid w:val="00B13E25"/>
    <w:rsid w:val="00B13F28"/>
    <w:rsid w:val="00B145FB"/>
    <w:rsid w:val="00B153BF"/>
    <w:rsid w:val="00B1558A"/>
    <w:rsid w:val="00B15CE8"/>
    <w:rsid w:val="00B16A2C"/>
    <w:rsid w:val="00B16A81"/>
    <w:rsid w:val="00B16C90"/>
    <w:rsid w:val="00B16D3E"/>
    <w:rsid w:val="00B1706C"/>
    <w:rsid w:val="00B203B1"/>
    <w:rsid w:val="00B20604"/>
    <w:rsid w:val="00B20D0A"/>
    <w:rsid w:val="00B20EAF"/>
    <w:rsid w:val="00B21177"/>
    <w:rsid w:val="00B21669"/>
    <w:rsid w:val="00B2187B"/>
    <w:rsid w:val="00B24B0B"/>
    <w:rsid w:val="00B24C58"/>
    <w:rsid w:val="00B26665"/>
    <w:rsid w:val="00B266C8"/>
    <w:rsid w:val="00B268B8"/>
    <w:rsid w:val="00B301C6"/>
    <w:rsid w:val="00B30B6D"/>
    <w:rsid w:val="00B314FD"/>
    <w:rsid w:val="00B315C7"/>
    <w:rsid w:val="00B31F4C"/>
    <w:rsid w:val="00B3240C"/>
    <w:rsid w:val="00B3254D"/>
    <w:rsid w:val="00B32660"/>
    <w:rsid w:val="00B33340"/>
    <w:rsid w:val="00B33F14"/>
    <w:rsid w:val="00B34816"/>
    <w:rsid w:val="00B348F2"/>
    <w:rsid w:val="00B34B3C"/>
    <w:rsid w:val="00B355EA"/>
    <w:rsid w:val="00B35B28"/>
    <w:rsid w:val="00B35EC9"/>
    <w:rsid w:val="00B36C10"/>
    <w:rsid w:val="00B36CE1"/>
    <w:rsid w:val="00B36D05"/>
    <w:rsid w:val="00B37404"/>
    <w:rsid w:val="00B37C1D"/>
    <w:rsid w:val="00B401FA"/>
    <w:rsid w:val="00B40ADE"/>
    <w:rsid w:val="00B412C9"/>
    <w:rsid w:val="00B4171F"/>
    <w:rsid w:val="00B41F72"/>
    <w:rsid w:val="00B420FD"/>
    <w:rsid w:val="00B4227F"/>
    <w:rsid w:val="00B426FA"/>
    <w:rsid w:val="00B42793"/>
    <w:rsid w:val="00B42893"/>
    <w:rsid w:val="00B43C2C"/>
    <w:rsid w:val="00B43EFD"/>
    <w:rsid w:val="00B44E1B"/>
    <w:rsid w:val="00B455E0"/>
    <w:rsid w:val="00B45985"/>
    <w:rsid w:val="00B45BD4"/>
    <w:rsid w:val="00B461D2"/>
    <w:rsid w:val="00B472DE"/>
    <w:rsid w:val="00B47359"/>
    <w:rsid w:val="00B47FC7"/>
    <w:rsid w:val="00B51A69"/>
    <w:rsid w:val="00B51C56"/>
    <w:rsid w:val="00B51F5E"/>
    <w:rsid w:val="00B52682"/>
    <w:rsid w:val="00B527C5"/>
    <w:rsid w:val="00B5308F"/>
    <w:rsid w:val="00B538E3"/>
    <w:rsid w:val="00B53FD9"/>
    <w:rsid w:val="00B54192"/>
    <w:rsid w:val="00B541DC"/>
    <w:rsid w:val="00B550D0"/>
    <w:rsid w:val="00B55195"/>
    <w:rsid w:val="00B55C00"/>
    <w:rsid w:val="00B5662F"/>
    <w:rsid w:val="00B56F82"/>
    <w:rsid w:val="00B57122"/>
    <w:rsid w:val="00B57138"/>
    <w:rsid w:val="00B57622"/>
    <w:rsid w:val="00B5798A"/>
    <w:rsid w:val="00B57FC1"/>
    <w:rsid w:val="00B6023B"/>
    <w:rsid w:val="00B609F4"/>
    <w:rsid w:val="00B6146D"/>
    <w:rsid w:val="00B61666"/>
    <w:rsid w:val="00B629A6"/>
    <w:rsid w:val="00B629D5"/>
    <w:rsid w:val="00B62E1E"/>
    <w:rsid w:val="00B62FE0"/>
    <w:rsid w:val="00B632E6"/>
    <w:rsid w:val="00B63C94"/>
    <w:rsid w:val="00B64B02"/>
    <w:rsid w:val="00B65563"/>
    <w:rsid w:val="00B6586A"/>
    <w:rsid w:val="00B66745"/>
    <w:rsid w:val="00B667D8"/>
    <w:rsid w:val="00B66F57"/>
    <w:rsid w:val="00B6744B"/>
    <w:rsid w:val="00B6747D"/>
    <w:rsid w:val="00B677FD"/>
    <w:rsid w:val="00B703A8"/>
    <w:rsid w:val="00B7047A"/>
    <w:rsid w:val="00B704D0"/>
    <w:rsid w:val="00B70DF2"/>
    <w:rsid w:val="00B70E99"/>
    <w:rsid w:val="00B713E1"/>
    <w:rsid w:val="00B71489"/>
    <w:rsid w:val="00B71B10"/>
    <w:rsid w:val="00B71F89"/>
    <w:rsid w:val="00B72589"/>
    <w:rsid w:val="00B725F5"/>
    <w:rsid w:val="00B72F56"/>
    <w:rsid w:val="00B73705"/>
    <w:rsid w:val="00B73804"/>
    <w:rsid w:val="00B74103"/>
    <w:rsid w:val="00B74383"/>
    <w:rsid w:val="00B74F96"/>
    <w:rsid w:val="00B75581"/>
    <w:rsid w:val="00B75698"/>
    <w:rsid w:val="00B7610D"/>
    <w:rsid w:val="00B7613D"/>
    <w:rsid w:val="00B761CB"/>
    <w:rsid w:val="00B766BD"/>
    <w:rsid w:val="00B76F3A"/>
    <w:rsid w:val="00B770A0"/>
    <w:rsid w:val="00B77387"/>
    <w:rsid w:val="00B77388"/>
    <w:rsid w:val="00B77602"/>
    <w:rsid w:val="00B77612"/>
    <w:rsid w:val="00B777B4"/>
    <w:rsid w:val="00B777FB"/>
    <w:rsid w:val="00B779B4"/>
    <w:rsid w:val="00B77AB4"/>
    <w:rsid w:val="00B77B4F"/>
    <w:rsid w:val="00B802DF"/>
    <w:rsid w:val="00B80B40"/>
    <w:rsid w:val="00B81328"/>
    <w:rsid w:val="00B82432"/>
    <w:rsid w:val="00B82598"/>
    <w:rsid w:val="00B82B68"/>
    <w:rsid w:val="00B82F93"/>
    <w:rsid w:val="00B841F2"/>
    <w:rsid w:val="00B84E09"/>
    <w:rsid w:val="00B84E96"/>
    <w:rsid w:val="00B852B3"/>
    <w:rsid w:val="00B854F1"/>
    <w:rsid w:val="00B85566"/>
    <w:rsid w:val="00B85D9D"/>
    <w:rsid w:val="00B85F7B"/>
    <w:rsid w:val="00B86054"/>
    <w:rsid w:val="00B860E6"/>
    <w:rsid w:val="00B869DD"/>
    <w:rsid w:val="00B869F3"/>
    <w:rsid w:val="00B90161"/>
    <w:rsid w:val="00B9022A"/>
    <w:rsid w:val="00B9046E"/>
    <w:rsid w:val="00B90681"/>
    <w:rsid w:val="00B90B51"/>
    <w:rsid w:val="00B91A99"/>
    <w:rsid w:val="00B91A9E"/>
    <w:rsid w:val="00B91B20"/>
    <w:rsid w:val="00B91EA3"/>
    <w:rsid w:val="00B92019"/>
    <w:rsid w:val="00B9227F"/>
    <w:rsid w:val="00B930B6"/>
    <w:rsid w:val="00B9350E"/>
    <w:rsid w:val="00B93574"/>
    <w:rsid w:val="00B93789"/>
    <w:rsid w:val="00B94123"/>
    <w:rsid w:val="00B9434F"/>
    <w:rsid w:val="00B947BA"/>
    <w:rsid w:val="00B947C5"/>
    <w:rsid w:val="00B9487D"/>
    <w:rsid w:val="00B94A46"/>
    <w:rsid w:val="00B94D45"/>
    <w:rsid w:val="00B94DF1"/>
    <w:rsid w:val="00B94ECE"/>
    <w:rsid w:val="00B95076"/>
    <w:rsid w:val="00B9559B"/>
    <w:rsid w:val="00B955CD"/>
    <w:rsid w:val="00B955FD"/>
    <w:rsid w:val="00B95FBC"/>
    <w:rsid w:val="00B9666F"/>
    <w:rsid w:val="00B966CE"/>
    <w:rsid w:val="00B96D64"/>
    <w:rsid w:val="00B96EC8"/>
    <w:rsid w:val="00B97446"/>
    <w:rsid w:val="00B97546"/>
    <w:rsid w:val="00BA01D6"/>
    <w:rsid w:val="00BA0251"/>
    <w:rsid w:val="00BA1206"/>
    <w:rsid w:val="00BA1242"/>
    <w:rsid w:val="00BA1498"/>
    <w:rsid w:val="00BA172B"/>
    <w:rsid w:val="00BA2091"/>
    <w:rsid w:val="00BA241D"/>
    <w:rsid w:val="00BA29C9"/>
    <w:rsid w:val="00BA2B18"/>
    <w:rsid w:val="00BA30C7"/>
    <w:rsid w:val="00BA342A"/>
    <w:rsid w:val="00BA407E"/>
    <w:rsid w:val="00BA424C"/>
    <w:rsid w:val="00BA4E82"/>
    <w:rsid w:val="00BA586F"/>
    <w:rsid w:val="00BA587D"/>
    <w:rsid w:val="00BA5B46"/>
    <w:rsid w:val="00BA5BAB"/>
    <w:rsid w:val="00BA64D4"/>
    <w:rsid w:val="00BA69E7"/>
    <w:rsid w:val="00BA6B05"/>
    <w:rsid w:val="00BA6FEB"/>
    <w:rsid w:val="00BA760D"/>
    <w:rsid w:val="00BA7759"/>
    <w:rsid w:val="00BA7F2D"/>
    <w:rsid w:val="00BB0DC3"/>
    <w:rsid w:val="00BB17F2"/>
    <w:rsid w:val="00BB2112"/>
    <w:rsid w:val="00BB219C"/>
    <w:rsid w:val="00BB21D4"/>
    <w:rsid w:val="00BB2604"/>
    <w:rsid w:val="00BB26FE"/>
    <w:rsid w:val="00BB384D"/>
    <w:rsid w:val="00BB3B4E"/>
    <w:rsid w:val="00BB45FA"/>
    <w:rsid w:val="00BB4D6C"/>
    <w:rsid w:val="00BB4FB8"/>
    <w:rsid w:val="00BB501A"/>
    <w:rsid w:val="00BB5906"/>
    <w:rsid w:val="00BB5DA8"/>
    <w:rsid w:val="00BB6556"/>
    <w:rsid w:val="00BB6D4D"/>
    <w:rsid w:val="00BB6EC2"/>
    <w:rsid w:val="00BB7449"/>
    <w:rsid w:val="00BB7C2F"/>
    <w:rsid w:val="00BB7E63"/>
    <w:rsid w:val="00BC0664"/>
    <w:rsid w:val="00BC0A01"/>
    <w:rsid w:val="00BC0C12"/>
    <w:rsid w:val="00BC0C26"/>
    <w:rsid w:val="00BC0FFD"/>
    <w:rsid w:val="00BC1016"/>
    <w:rsid w:val="00BC1E53"/>
    <w:rsid w:val="00BC234D"/>
    <w:rsid w:val="00BC23E2"/>
    <w:rsid w:val="00BC25A4"/>
    <w:rsid w:val="00BC2842"/>
    <w:rsid w:val="00BC2FC0"/>
    <w:rsid w:val="00BC4066"/>
    <w:rsid w:val="00BC44FE"/>
    <w:rsid w:val="00BC4964"/>
    <w:rsid w:val="00BC566B"/>
    <w:rsid w:val="00BC5A53"/>
    <w:rsid w:val="00BC6099"/>
    <w:rsid w:val="00BC6224"/>
    <w:rsid w:val="00BC632F"/>
    <w:rsid w:val="00BC651E"/>
    <w:rsid w:val="00BC66C8"/>
    <w:rsid w:val="00BC74D4"/>
    <w:rsid w:val="00BD00CC"/>
    <w:rsid w:val="00BD04AA"/>
    <w:rsid w:val="00BD0819"/>
    <w:rsid w:val="00BD0A27"/>
    <w:rsid w:val="00BD1CB8"/>
    <w:rsid w:val="00BD20CE"/>
    <w:rsid w:val="00BD2351"/>
    <w:rsid w:val="00BD2601"/>
    <w:rsid w:val="00BD2ADF"/>
    <w:rsid w:val="00BD2F1B"/>
    <w:rsid w:val="00BD3315"/>
    <w:rsid w:val="00BD375E"/>
    <w:rsid w:val="00BD3A65"/>
    <w:rsid w:val="00BD3DAD"/>
    <w:rsid w:val="00BD3FD3"/>
    <w:rsid w:val="00BD417D"/>
    <w:rsid w:val="00BD41B6"/>
    <w:rsid w:val="00BD42FE"/>
    <w:rsid w:val="00BD45BE"/>
    <w:rsid w:val="00BD4B6F"/>
    <w:rsid w:val="00BD4D78"/>
    <w:rsid w:val="00BD52E5"/>
    <w:rsid w:val="00BD5B1C"/>
    <w:rsid w:val="00BD5F93"/>
    <w:rsid w:val="00BD66DD"/>
    <w:rsid w:val="00BD70F3"/>
    <w:rsid w:val="00BD7986"/>
    <w:rsid w:val="00BE027C"/>
    <w:rsid w:val="00BE13C7"/>
    <w:rsid w:val="00BE154D"/>
    <w:rsid w:val="00BE35F3"/>
    <w:rsid w:val="00BE3BD4"/>
    <w:rsid w:val="00BE3FF7"/>
    <w:rsid w:val="00BE4048"/>
    <w:rsid w:val="00BE4164"/>
    <w:rsid w:val="00BE4661"/>
    <w:rsid w:val="00BE4954"/>
    <w:rsid w:val="00BE4AF9"/>
    <w:rsid w:val="00BE5119"/>
    <w:rsid w:val="00BE5CA9"/>
    <w:rsid w:val="00BE5D46"/>
    <w:rsid w:val="00BE5EDA"/>
    <w:rsid w:val="00BE6118"/>
    <w:rsid w:val="00BE6B96"/>
    <w:rsid w:val="00BE6BE0"/>
    <w:rsid w:val="00BE6E4A"/>
    <w:rsid w:val="00BE79E4"/>
    <w:rsid w:val="00BE7E16"/>
    <w:rsid w:val="00BF0EAB"/>
    <w:rsid w:val="00BF0FBC"/>
    <w:rsid w:val="00BF152E"/>
    <w:rsid w:val="00BF1ACA"/>
    <w:rsid w:val="00BF2696"/>
    <w:rsid w:val="00BF29C5"/>
    <w:rsid w:val="00BF2BA9"/>
    <w:rsid w:val="00BF2F25"/>
    <w:rsid w:val="00BF334D"/>
    <w:rsid w:val="00BF352A"/>
    <w:rsid w:val="00BF3CFE"/>
    <w:rsid w:val="00BF4419"/>
    <w:rsid w:val="00BF44B7"/>
    <w:rsid w:val="00BF58EF"/>
    <w:rsid w:val="00BF60EC"/>
    <w:rsid w:val="00BF6106"/>
    <w:rsid w:val="00BF6260"/>
    <w:rsid w:val="00BF662C"/>
    <w:rsid w:val="00BF67F6"/>
    <w:rsid w:val="00BF69BB"/>
    <w:rsid w:val="00BF6B2F"/>
    <w:rsid w:val="00BF6F40"/>
    <w:rsid w:val="00BF7152"/>
    <w:rsid w:val="00BF7666"/>
    <w:rsid w:val="00BF78B9"/>
    <w:rsid w:val="00BF7EFE"/>
    <w:rsid w:val="00C0001E"/>
    <w:rsid w:val="00C006B1"/>
    <w:rsid w:val="00C00E02"/>
    <w:rsid w:val="00C010A1"/>
    <w:rsid w:val="00C011D5"/>
    <w:rsid w:val="00C01696"/>
    <w:rsid w:val="00C01707"/>
    <w:rsid w:val="00C01A63"/>
    <w:rsid w:val="00C02B1C"/>
    <w:rsid w:val="00C02DD8"/>
    <w:rsid w:val="00C035AB"/>
    <w:rsid w:val="00C03758"/>
    <w:rsid w:val="00C03A50"/>
    <w:rsid w:val="00C03D04"/>
    <w:rsid w:val="00C042DD"/>
    <w:rsid w:val="00C04AB0"/>
    <w:rsid w:val="00C04D85"/>
    <w:rsid w:val="00C05013"/>
    <w:rsid w:val="00C053F1"/>
    <w:rsid w:val="00C054D2"/>
    <w:rsid w:val="00C05575"/>
    <w:rsid w:val="00C056E5"/>
    <w:rsid w:val="00C06153"/>
    <w:rsid w:val="00C0681A"/>
    <w:rsid w:val="00C06AFA"/>
    <w:rsid w:val="00C06F0B"/>
    <w:rsid w:val="00C070BE"/>
    <w:rsid w:val="00C07661"/>
    <w:rsid w:val="00C10275"/>
    <w:rsid w:val="00C10B4E"/>
    <w:rsid w:val="00C11205"/>
    <w:rsid w:val="00C11435"/>
    <w:rsid w:val="00C12165"/>
    <w:rsid w:val="00C1258D"/>
    <w:rsid w:val="00C12855"/>
    <w:rsid w:val="00C12E25"/>
    <w:rsid w:val="00C12E42"/>
    <w:rsid w:val="00C13381"/>
    <w:rsid w:val="00C13DDA"/>
    <w:rsid w:val="00C13E6E"/>
    <w:rsid w:val="00C13ED7"/>
    <w:rsid w:val="00C140AD"/>
    <w:rsid w:val="00C1495F"/>
    <w:rsid w:val="00C15857"/>
    <w:rsid w:val="00C15968"/>
    <w:rsid w:val="00C1607B"/>
    <w:rsid w:val="00C16080"/>
    <w:rsid w:val="00C165C1"/>
    <w:rsid w:val="00C167DD"/>
    <w:rsid w:val="00C1686C"/>
    <w:rsid w:val="00C16BE6"/>
    <w:rsid w:val="00C17107"/>
    <w:rsid w:val="00C17508"/>
    <w:rsid w:val="00C17715"/>
    <w:rsid w:val="00C17A94"/>
    <w:rsid w:val="00C17D5E"/>
    <w:rsid w:val="00C17FAC"/>
    <w:rsid w:val="00C20363"/>
    <w:rsid w:val="00C2065B"/>
    <w:rsid w:val="00C20D83"/>
    <w:rsid w:val="00C21357"/>
    <w:rsid w:val="00C216DF"/>
    <w:rsid w:val="00C21CEB"/>
    <w:rsid w:val="00C21FC8"/>
    <w:rsid w:val="00C22041"/>
    <w:rsid w:val="00C22DAB"/>
    <w:rsid w:val="00C236C8"/>
    <w:rsid w:val="00C23A62"/>
    <w:rsid w:val="00C23DA5"/>
    <w:rsid w:val="00C23E96"/>
    <w:rsid w:val="00C24BD3"/>
    <w:rsid w:val="00C24C97"/>
    <w:rsid w:val="00C24CF2"/>
    <w:rsid w:val="00C252AF"/>
    <w:rsid w:val="00C255D6"/>
    <w:rsid w:val="00C257B0"/>
    <w:rsid w:val="00C2608B"/>
    <w:rsid w:val="00C26171"/>
    <w:rsid w:val="00C26281"/>
    <w:rsid w:val="00C2655A"/>
    <w:rsid w:val="00C26B27"/>
    <w:rsid w:val="00C27702"/>
    <w:rsid w:val="00C27795"/>
    <w:rsid w:val="00C27CAC"/>
    <w:rsid w:val="00C30491"/>
    <w:rsid w:val="00C322B8"/>
    <w:rsid w:val="00C3315F"/>
    <w:rsid w:val="00C33366"/>
    <w:rsid w:val="00C339EC"/>
    <w:rsid w:val="00C33BD6"/>
    <w:rsid w:val="00C33BED"/>
    <w:rsid w:val="00C340C6"/>
    <w:rsid w:val="00C3485F"/>
    <w:rsid w:val="00C34A0F"/>
    <w:rsid w:val="00C34A50"/>
    <w:rsid w:val="00C350FE"/>
    <w:rsid w:val="00C35D98"/>
    <w:rsid w:val="00C36028"/>
    <w:rsid w:val="00C3638E"/>
    <w:rsid w:val="00C366DB"/>
    <w:rsid w:val="00C36913"/>
    <w:rsid w:val="00C36C17"/>
    <w:rsid w:val="00C3714F"/>
    <w:rsid w:val="00C402F9"/>
    <w:rsid w:val="00C41646"/>
    <w:rsid w:val="00C41799"/>
    <w:rsid w:val="00C41AE7"/>
    <w:rsid w:val="00C42079"/>
    <w:rsid w:val="00C426F9"/>
    <w:rsid w:val="00C427BE"/>
    <w:rsid w:val="00C42DAC"/>
    <w:rsid w:val="00C43360"/>
    <w:rsid w:val="00C43371"/>
    <w:rsid w:val="00C443A1"/>
    <w:rsid w:val="00C44513"/>
    <w:rsid w:val="00C447B7"/>
    <w:rsid w:val="00C453E8"/>
    <w:rsid w:val="00C458C3"/>
    <w:rsid w:val="00C45D1A"/>
    <w:rsid w:val="00C4609D"/>
    <w:rsid w:val="00C46B9E"/>
    <w:rsid w:val="00C46FCD"/>
    <w:rsid w:val="00C47058"/>
    <w:rsid w:val="00C473A6"/>
    <w:rsid w:val="00C47539"/>
    <w:rsid w:val="00C47D54"/>
    <w:rsid w:val="00C50C54"/>
    <w:rsid w:val="00C50F50"/>
    <w:rsid w:val="00C510DE"/>
    <w:rsid w:val="00C51205"/>
    <w:rsid w:val="00C5135B"/>
    <w:rsid w:val="00C51626"/>
    <w:rsid w:val="00C51BB8"/>
    <w:rsid w:val="00C52E58"/>
    <w:rsid w:val="00C538E0"/>
    <w:rsid w:val="00C539B4"/>
    <w:rsid w:val="00C53EF6"/>
    <w:rsid w:val="00C542AB"/>
    <w:rsid w:val="00C5437C"/>
    <w:rsid w:val="00C54427"/>
    <w:rsid w:val="00C5502C"/>
    <w:rsid w:val="00C5596A"/>
    <w:rsid w:val="00C55AA5"/>
    <w:rsid w:val="00C5627A"/>
    <w:rsid w:val="00C562B7"/>
    <w:rsid w:val="00C562C0"/>
    <w:rsid w:val="00C5653B"/>
    <w:rsid w:val="00C5655C"/>
    <w:rsid w:val="00C56B3A"/>
    <w:rsid w:val="00C56E80"/>
    <w:rsid w:val="00C56EB6"/>
    <w:rsid w:val="00C56EC8"/>
    <w:rsid w:val="00C5706C"/>
    <w:rsid w:val="00C5767F"/>
    <w:rsid w:val="00C57769"/>
    <w:rsid w:val="00C57984"/>
    <w:rsid w:val="00C6003F"/>
    <w:rsid w:val="00C60644"/>
    <w:rsid w:val="00C60909"/>
    <w:rsid w:val="00C61720"/>
    <w:rsid w:val="00C6176C"/>
    <w:rsid w:val="00C61E50"/>
    <w:rsid w:val="00C62D4E"/>
    <w:rsid w:val="00C62EB8"/>
    <w:rsid w:val="00C6321B"/>
    <w:rsid w:val="00C63A25"/>
    <w:rsid w:val="00C63B26"/>
    <w:rsid w:val="00C64215"/>
    <w:rsid w:val="00C64586"/>
    <w:rsid w:val="00C64E9D"/>
    <w:rsid w:val="00C651F8"/>
    <w:rsid w:val="00C65733"/>
    <w:rsid w:val="00C65B21"/>
    <w:rsid w:val="00C65CEB"/>
    <w:rsid w:val="00C66FCD"/>
    <w:rsid w:val="00C6701D"/>
    <w:rsid w:val="00C67DE1"/>
    <w:rsid w:val="00C706AC"/>
    <w:rsid w:val="00C70895"/>
    <w:rsid w:val="00C70A09"/>
    <w:rsid w:val="00C70D38"/>
    <w:rsid w:val="00C71730"/>
    <w:rsid w:val="00C71C71"/>
    <w:rsid w:val="00C721EB"/>
    <w:rsid w:val="00C731E8"/>
    <w:rsid w:val="00C74A9C"/>
    <w:rsid w:val="00C750F8"/>
    <w:rsid w:val="00C75253"/>
    <w:rsid w:val="00C754D7"/>
    <w:rsid w:val="00C75D2B"/>
    <w:rsid w:val="00C761EB"/>
    <w:rsid w:val="00C76E5B"/>
    <w:rsid w:val="00C770E9"/>
    <w:rsid w:val="00C77E4B"/>
    <w:rsid w:val="00C801DF"/>
    <w:rsid w:val="00C80C7D"/>
    <w:rsid w:val="00C81AC9"/>
    <w:rsid w:val="00C82256"/>
    <w:rsid w:val="00C8227F"/>
    <w:rsid w:val="00C82491"/>
    <w:rsid w:val="00C82659"/>
    <w:rsid w:val="00C826CE"/>
    <w:rsid w:val="00C82AAB"/>
    <w:rsid w:val="00C82B18"/>
    <w:rsid w:val="00C83391"/>
    <w:rsid w:val="00C83FA5"/>
    <w:rsid w:val="00C83FB0"/>
    <w:rsid w:val="00C840E3"/>
    <w:rsid w:val="00C853E0"/>
    <w:rsid w:val="00C8581B"/>
    <w:rsid w:val="00C85C8B"/>
    <w:rsid w:val="00C85DF3"/>
    <w:rsid w:val="00C85E79"/>
    <w:rsid w:val="00C863AE"/>
    <w:rsid w:val="00C87C81"/>
    <w:rsid w:val="00C87D25"/>
    <w:rsid w:val="00C900F7"/>
    <w:rsid w:val="00C90221"/>
    <w:rsid w:val="00C905D7"/>
    <w:rsid w:val="00C90942"/>
    <w:rsid w:val="00C9098B"/>
    <w:rsid w:val="00C910BF"/>
    <w:rsid w:val="00C91827"/>
    <w:rsid w:val="00C91DD7"/>
    <w:rsid w:val="00C91F78"/>
    <w:rsid w:val="00C92C85"/>
    <w:rsid w:val="00C92D64"/>
    <w:rsid w:val="00C93345"/>
    <w:rsid w:val="00C9357C"/>
    <w:rsid w:val="00C93A0C"/>
    <w:rsid w:val="00C94CB9"/>
    <w:rsid w:val="00C95040"/>
    <w:rsid w:val="00C95822"/>
    <w:rsid w:val="00C958C9"/>
    <w:rsid w:val="00C964BD"/>
    <w:rsid w:val="00C96930"/>
    <w:rsid w:val="00C96981"/>
    <w:rsid w:val="00C96D31"/>
    <w:rsid w:val="00C97A7D"/>
    <w:rsid w:val="00CA007C"/>
    <w:rsid w:val="00CA0348"/>
    <w:rsid w:val="00CA0846"/>
    <w:rsid w:val="00CA0F0B"/>
    <w:rsid w:val="00CA0FEF"/>
    <w:rsid w:val="00CA1638"/>
    <w:rsid w:val="00CA1694"/>
    <w:rsid w:val="00CA1BD6"/>
    <w:rsid w:val="00CA1ED2"/>
    <w:rsid w:val="00CA1F4A"/>
    <w:rsid w:val="00CA1F71"/>
    <w:rsid w:val="00CA21E5"/>
    <w:rsid w:val="00CA2B98"/>
    <w:rsid w:val="00CA2D0B"/>
    <w:rsid w:val="00CA3178"/>
    <w:rsid w:val="00CA441B"/>
    <w:rsid w:val="00CA46AF"/>
    <w:rsid w:val="00CA4FA9"/>
    <w:rsid w:val="00CA4FB5"/>
    <w:rsid w:val="00CA5190"/>
    <w:rsid w:val="00CA5D02"/>
    <w:rsid w:val="00CA618B"/>
    <w:rsid w:val="00CA6EC1"/>
    <w:rsid w:val="00CA6FFE"/>
    <w:rsid w:val="00CB0144"/>
    <w:rsid w:val="00CB0385"/>
    <w:rsid w:val="00CB13E7"/>
    <w:rsid w:val="00CB20AB"/>
    <w:rsid w:val="00CB2268"/>
    <w:rsid w:val="00CB2802"/>
    <w:rsid w:val="00CB3BF3"/>
    <w:rsid w:val="00CB3CB9"/>
    <w:rsid w:val="00CB516D"/>
    <w:rsid w:val="00CB5270"/>
    <w:rsid w:val="00CB52B7"/>
    <w:rsid w:val="00CB5339"/>
    <w:rsid w:val="00CB5882"/>
    <w:rsid w:val="00CB602B"/>
    <w:rsid w:val="00CB60E8"/>
    <w:rsid w:val="00CB6686"/>
    <w:rsid w:val="00CB7B7E"/>
    <w:rsid w:val="00CC023E"/>
    <w:rsid w:val="00CC0423"/>
    <w:rsid w:val="00CC050C"/>
    <w:rsid w:val="00CC066C"/>
    <w:rsid w:val="00CC0A7B"/>
    <w:rsid w:val="00CC1304"/>
    <w:rsid w:val="00CC1933"/>
    <w:rsid w:val="00CC1A50"/>
    <w:rsid w:val="00CC1D63"/>
    <w:rsid w:val="00CC2264"/>
    <w:rsid w:val="00CC2FFF"/>
    <w:rsid w:val="00CC36EA"/>
    <w:rsid w:val="00CC398E"/>
    <w:rsid w:val="00CC399A"/>
    <w:rsid w:val="00CC4744"/>
    <w:rsid w:val="00CC4DF8"/>
    <w:rsid w:val="00CC5151"/>
    <w:rsid w:val="00CC5454"/>
    <w:rsid w:val="00CC5517"/>
    <w:rsid w:val="00CC5524"/>
    <w:rsid w:val="00CC66E5"/>
    <w:rsid w:val="00CC6C21"/>
    <w:rsid w:val="00CD00CE"/>
    <w:rsid w:val="00CD0109"/>
    <w:rsid w:val="00CD0203"/>
    <w:rsid w:val="00CD0D80"/>
    <w:rsid w:val="00CD0EAD"/>
    <w:rsid w:val="00CD18FD"/>
    <w:rsid w:val="00CD19BA"/>
    <w:rsid w:val="00CD1AF7"/>
    <w:rsid w:val="00CD214A"/>
    <w:rsid w:val="00CD22A2"/>
    <w:rsid w:val="00CD2410"/>
    <w:rsid w:val="00CD2EE5"/>
    <w:rsid w:val="00CD3187"/>
    <w:rsid w:val="00CD3730"/>
    <w:rsid w:val="00CD4067"/>
    <w:rsid w:val="00CD40D3"/>
    <w:rsid w:val="00CD41BB"/>
    <w:rsid w:val="00CD5434"/>
    <w:rsid w:val="00CD57A6"/>
    <w:rsid w:val="00CD591B"/>
    <w:rsid w:val="00CD6207"/>
    <w:rsid w:val="00CD6724"/>
    <w:rsid w:val="00CD6B1F"/>
    <w:rsid w:val="00CD6E16"/>
    <w:rsid w:val="00CD7161"/>
    <w:rsid w:val="00CD72D8"/>
    <w:rsid w:val="00CD79A2"/>
    <w:rsid w:val="00CD7A5E"/>
    <w:rsid w:val="00CD7A76"/>
    <w:rsid w:val="00CD7E3B"/>
    <w:rsid w:val="00CE011F"/>
    <w:rsid w:val="00CE0B70"/>
    <w:rsid w:val="00CE0D68"/>
    <w:rsid w:val="00CE0F8A"/>
    <w:rsid w:val="00CE1147"/>
    <w:rsid w:val="00CE1AAA"/>
    <w:rsid w:val="00CE2131"/>
    <w:rsid w:val="00CE233F"/>
    <w:rsid w:val="00CE2367"/>
    <w:rsid w:val="00CE236A"/>
    <w:rsid w:val="00CE240B"/>
    <w:rsid w:val="00CE328D"/>
    <w:rsid w:val="00CE39D6"/>
    <w:rsid w:val="00CE4313"/>
    <w:rsid w:val="00CE472D"/>
    <w:rsid w:val="00CE565F"/>
    <w:rsid w:val="00CE5D73"/>
    <w:rsid w:val="00CE608A"/>
    <w:rsid w:val="00CE6370"/>
    <w:rsid w:val="00CE6720"/>
    <w:rsid w:val="00CE72CE"/>
    <w:rsid w:val="00CE7E7B"/>
    <w:rsid w:val="00CF065B"/>
    <w:rsid w:val="00CF0E26"/>
    <w:rsid w:val="00CF0E29"/>
    <w:rsid w:val="00CF1176"/>
    <w:rsid w:val="00CF126D"/>
    <w:rsid w:val="00CF1A38"/>
    <w:rsid w:val="00CF1CEF"/>
    <w:rsid w:val="00CF1DFB"/>
    <w:rsid w:val="00CF2159"/>
    <w:rsid w:val="00CF24BB"/>
    <w:rsid w:val="00CF2873"/>
    <w:rsid w:val="00CF2CCA"/>
    <w:rsid w:val="00CF33C9"/>
    <w:rsid w:val="00CF3438"/>
    <w:rsid w:val="00CF3D29"/>
    <w:rsid w:val="00CF3E1B"/>
    <w:rsid w:val="00CF3F97"/>
    <w:rsid w:val="00CF42E4"/>
    <w:rsid w:val="00CF4346"/>
    <w:rsid w:val="00CF4513"/>
    <w:rsid w:val="00CF4D6C"/>
    <w:rsid w:val="00CF4F4C"/>
    <w:rsid w:val="00CF5373"/>
    <w:rsid w:val="00CF5589"/>
    <w:rsid w:val="00CF57F7"/>
    <w:rsid w:val="00CF627B"/>
    <w:rsid w:val="00CF739D"/>
    <w:rsid w:val="00D00458"/>
    <w:rsid w:val="00D00721"/>
    <w:rsid w:val="00D0077E"/>
    <w:rsid w:val="00D016B0"/>
    <w:rsid w:val="00D0175D"/>
    <w:rsid w:val="00D01B28"/>
    <w:rsid w:val="00D01C9B"/>
    <w:rsid w:val="00D0258D"/>
    <w:rsid w:val="00D02A7E"/>
    <w:rsid w:val="00D02B21"/>
    <w:rsid w:val="00D03A97"/>
    <w:rsid w:val="00D03B4E"/>
    <w:rsid w:val="00D03B8C"/>
    <w:rsid w:val="00D040E9"/>
    <w:rsid w:val="00D04204"/>
    <w:rsid w:val="00D04403"/>
    <w:rsid w:val="00D044AF"/>
    <w:rsid w:val="00D0490C"/>
    <w:rsid w:val="00D04DE0"/>
    <w:rsid w:val="00D04EE9"/>
    <w:rsid w:val="00D055F6"/>
    <w:rsid w:val="00D05B4A"/>
    <w:rsid w:val="00D05DFD"/>
    <w:rsid w:val="00D065F5"/>
    <w:rsid w:val="00D072F6"/>
    <w:rsid w:val="00D10114"/>
    <w:rsid w:val="00D107A8"/>
    <w:rsid w:val="00D107B9"/>
    <w:rsid w:val="00D10EC7"/>
    <w:rsid w:val="00D11434"/>
    <w:rsid w:val="00D12138"/>
    <w:rsid w:val="00D122F9"/>
    <w:rsid w:val="00D12A39"/>
    <w:rsid w:val="00D12D7B"/>
    <w:rsid w:val="00D12DD4"/>
    <w:rsid w:val="00D135F7"/>
    <w:rsid w:val="00D13CC8"/>
    <w:rsid w:val="00D14266"/>
    <w:rsid w:val="00D15078"/>
    <w:rsid w:val="00D150DD"/>
    <w:rsid w:val="00D15547"/>
    <w:rsid w:val="00D15A03"/>
    <w:rsid w:val="00D161F9"/>
    <w:rsid w:val="00D1622F"/>
    <w:rsid w:val="00D165D6"/>
    <w:rsid w:val="00D16AD2"/>
    <w:rsid w:val="00D16DB5"/>
    <w:rsid w:val="00D16DD3"/>
    <w:rsid w:val="00D17074"/>
    <w:rsid w:val="00D1768A"/>
    <w:rsid w:val="00D17CBE"/>
    <w:rsid w:val="00D17DEF"/>
    <w:rsid w:val="00D20769"/>
    <w:rsid w:val="00D20CA2"/>
    <w:rsid w:val="00D20F46"/>
    <w:rsid w:val="00D20FC0"/>
    <w:rsid w:val="00D21A40"/>
    <w:rsid w:val="00D223EE"/>
    <w:rsid w:val="00D22538"/>
    <w:rsid w:val="00D239B7"/>
    <w:rsid w:val="00D23A72"/>
    <w:rsid w:val="00D23BBB"/>
    <w:rsid w:val="00D244A3"/>
    <w:rsid w:val="00D25B08"/>
    <w:rsid w:val="00D2696B"/>
    <w:rsid w:val="00D275DA"/>
    <w:rsid w:val="00D27ADD"/>
    <w:rsid w:val="00D27BAD"/>
    <w:rsid w:val="00D3060F"/>
    <w:rsid w:val="00D31636"/>
    <w:rsid w:val="00D318E3"/>
    <w:rsid w:val="00D31B06"/>
    <w:rsid w:val="00D31BCC"/>
    <w:rsid w:val="00D327D8"/>
    <w:rsid w:val="00D32BE4"/>
    <w:rsid w:val="00D33AEA"/>
    <w:rsid w:val="00D33B90"/>
    <w:rsid w:val="00D3451B"/>
    <w:rsid w:val="00D345A2"/>
    <w:rsid w:val="00D34797"/>
    <w:rsid w:val="00D34983"/>
    <w:rsid w:val="00D353DC"/>
    <w:rsid w:val="00D35C03"/>
    <w:rsid w:val="00D36838"/>
    <w:rsid w:val="00D36F77"/>
    <w:rsid w:val="00D372EE"/>
    <w:rsid w:val="00D376B6"/>
    <w:rsid w:val="00D40401"/>
    <w:rsid w:val="00D40476"/>
    <w:rsid w:val="00D40626"/>
    <w:rsid w:val="00D40A72"/>
    <w:rsid w:val="00D40E24"/>
    <w:rsid w:val="00D40FEB"/>
    <w:rsid w:val="00D41113"/>
    <w:rsid w:val="00D41774"/>
    <w:rsid w:val="00D417CE"/>
    <w:rsid w:val="00D41CD5"/>
    <w:rsid w:val="00D4226D"/>
    <w:rsid w:val="00D42C16"/>
    <w:rsid w:val="00D43182"/>
    <w:rsid w:val="00D43BC8"/>
    <w:rsid w:val="00D4485C"/>
    <w:rsid w:val="00D4497D"/>
    <w:rsid w:val="00D44CFD"/>
    <w:rsid w:val="00D45539"/>
    <w:rsid w:val="00D45668"/>
    <w:rsid w:val="00D45A4F"/>
    <w:rsid w:val="00D45CFE"/>
    <w:rsid w:val="00D4641F"/>
    <w:rsid w:val="00D47CE8"/>
    <w:rsid w:val="00D47E2C"/>
    <w:rsid w:val="00D50724"/>
    <w:rsid w:val="00D50E0C"/>
    <w:rsid w:val="00D511BB"/>
    <w:rsid w:val="00D5133E"/>
    <w:rsid w:val="00D51465"/>
    <w:rsid w:val="00D5149F"/>
    <w:rsid w:val="00D517DD"/>
    <w:rsid w:val="00D51A61"/>
    <w:rsid w:val="00D51A94"/>
    <w:rsid w:val="00D52494"/>
    <w:rsid w:val="00D524CC"/>
    <w:rsid w:val="00D524F7"/>
    <w:rsid w:val="00D52653"/>
    <w:rsid w:val="00D52687"/>
    <w:rsid w:val="00D52DFB"/>
    <w:rsid w:val="00D53012"/>
    <w:rsid w:val="00D5341D"/>
    <w:rsid w:val="00D53778"/>
    <w:rsid w:val="00D5405C"/>
    <w:rsid w:val="00D5508E"/>
    <w:rsid w:val="00D55298"/>
    <w:rsid w:val="00D556DD"/>
    <w:rsid w:val="00D55BD4"/>
    <w:rsid w:val="00D55D43"/>
    <w:rsid w:val="00D55DEE"/>
    <w:rsid w:val="00D56055"/>
    <w:rsid w:val="00D561A1"/>
    <w:rsid w:val="00D56B9A"/>
    <w:rsid w:val="00D571F4"/>
    <w:rsid w:val="00D57477"/>
    <w:rsid w:val="00D60068"/>
    <w:rsid w:val="00D60257"/>
    <w:rsid w:val="00D60603"/>
    <w:rsid w:val="00D60CC5"/>
    <w:rsid w:val="00D60D41"/>
    <w:rsid w:val="00D6151A"/>
    <w:rsid w:val="00D61AFF"/>
    <w:rsid w:val="00D620DD"/>
    <w:rsid w:val="00D625B4"/>
    <w:rsid w:val="00D625F7"/>
    <w:rsid w:val="00D6299E"/>
    <w:rsid w:val="00D63166"/>
    <w:rsid w:val="00D63431"/>
    <w:rsid w:val="00D63527"/>
    <w:rsid w:val="00D63D77"/>
    <w:rsid w:val="00D64039"/>
    <w:rsid w:val="00D64B6F"/>
    <w:rsid w:val="00D64B70"/>
    <w:rsid w:val="00D65034"/>
    <w:rsid w:val="00D65466"/>
    <w:rsid w:val="00D65F79"/>
    <w:rsid w:val="00D65FBB"/>
    <w:rsid w:val="00D668AA"/>
    <w:rsid w:val="00D66BDE"/>
    <w:rsid w:val="00D67231"/>
    <w:rsid w:val="00D672B2"/>
    <w:rsid w:val="00D6776A"/>
    <w:rsid w:val="00D67994"/>
    <w:rsid w:val="00D67C87"/>
    <w:rsid w:val="00D7042B"/>
    <w:rsid w:val="00D70724"/>
    <w:rsid w:val="00D71414"/>
    <w:rsid w:val="00D7144D"/>
    <w:rsid w:val="00D71DAF"/>
    <w:rsid w:val="00D7214A"/>
    <w:rsid w:val="00D728F0"/>
    <w:rsid w:val="00D7293B"/>
    <w:rsid w:val="00D72B4F"/>
    <w:rsid w:val="00D73277"/>
    <w:rsid w:val="00D7389D"/>
    <w:rsid w:val="00D73D8E"/>
    <w:rsid w:val="00D744DA"/>
    <w:rsid w:val="00D7453C"/>
    <w:rsid w:val="00D748AF"/>
    <w:rsid w:val="00D74B4A"/>
    <w:rsid w:val="00D74F96"/>
    <w:rsid w:val="00D75267"/>
    <w:rsid w:val="00D758F2"/>
    <w:rsid w:val="00D759B5"/>
    <w:rsid w:val="00D7621A"/>
    <w:rsid w:val="00D76F95"/>
    <w:rsid w:val="00D7731A"/>
    <w:rsid w:val="00D773FC"/>
    <w:rsid w:val="00D803BD"/>
    <w:rsid w:val="00D80540"/>
    <w:rsid w:val="00D80D65"/>
    <w:rsid w:val="00D80D93"/>
    <w:rsid w:val="00D80EF1"/>
    <w:rsid w:val="00D80F05"/>
    <w:rsid w:val="00D814AB"/>
    <w:rsid w:val="00D815B7"/>
    <w:rsid w:val="00D81B11"/>
    <w:rsid w:val="00D81C9B"/>
    <w:rsid w:val="00D8201C"/>
    <w:rsid w:val="00D82429"/>
    <w:rsid w:val="00D828DE"/>
    <w:rsid w:val="00D833F9"/>
    <w:rsid w:val="00D83517"/>
    <w:rsid w:val="00D838FE"/>
    <w:rsid w:val="00D83ABB"/>
    <w:rsid w:val="00D83DEE"/>
    <w:rsid w:val="00D84920"/>
    <w:rsid w:val="00D84A5D"/>
    <w:rsid w:val="00D854DC"/>
    <w:rsid w:val="00D85A2A"/>
    <w:rsid w:val="00D862A4"/>
    <w:rsid w:val="00D86543"/>
    <w:rsid w:val="00D866BB"/>
    <w:rsid w:val="00D8691C"/>
    <w:rsid w:val="00D8700D"/>
    <w:rsid w:val="00D87310"/>
    <w:rsid w:val="00D878CE"/>
    <w:rsid w:val="00D879A4"/>
    <w:rsid w:val="00D87B47"/>
    <w:rsid w:val="00D87FCB"/>
    <w:rsid w:val="00D9081E"/>
    <w:rsid w:val="00D90A9D"/>
    <w:rsid w:val="00D90C0A"/>
    <w:rsid w:val="00D91B6D"/>
    <w:rsid w:val="00D91F03"/>
    <w:rsid w:val="00D91F3C"/>
    <w:rsid w:val="00D92204"/>
    <w:rsid w:val="00D92A07"/>
    <w:rsid w:val="00D93070"/>
    <w:rsid w:val="00D930AD"/>
    <w:rsid w:val="00D935E3"/>
    <w:rsid w:val="00D93831"/>
    <w:rsid w:val="00D93D02"/>
    <w:rsid w:val="00D94064"/>
    <w:rsid w:val="00D9412F"/>
    <w:rsid w:val="00D942F7"/>
    <w:rsid w:val="00D94378"/>
    <w:rsid w:val="00D94387"/>
    <w:rsid w:val="00D9440B"/>
    <w:rsid w:val="00D9448C"/>
    <w:rsid w:val="00D94E33"/>
    <w:rsid w:val="00D9516E"/>
    <w:rsid w:val="00D951BD"/>
    <w:rsid w:val="00D97E10"/>
    <w:rsid w:val="00D97FEF"/>
    <w:rsid w:val="00DA0574"/>
    <w:rsid w:val="00DA2030"/>
    <w:rsid w:val="00DA25E3"/>
    <w:rsid w:val="00DA3320"/>
    <w:rsid w:val="00DA3559"/>
    <w:rsid w:val="00DA36D6"/>
    <w:rsid w:val="00DA3BBF"/>
    <w:rsid w:val="00DA4090"/>
    <w:rsid w:val="00DA5160"/>
    <w:rsid w:val="00DA5EEC"/>
    <w:rsid w:val="00DA6D40"/>
    <w:rsid w:val="00DA7424"/>
    <w:rsid w:val="00DA7497"/>
    <w:rsid w:val="00DA78BC"/>
    <w:rsid w:val="00DA7ED8"/>
    <w:rsid w:val="00DB02BC"/>
    <w:rsid w:val="00DB042E"/>
    <w:rsid w:val="00DB067B"/>
    <w:rsid w:val="00DB1ACC"/>
    <w:rsid w:val="00DB1C35"/>
    <w:rsid w:val="00DB21F7"/>
    <w:rsid w:val="00DB22F2"/>
    <w:rsid w:val="00DB232C"/>
    <w:rsid w:val="00DB2525"/>
    <w:rsid w:val="00DB3614"/>
    <w:rsid w:val="00DB3EAE"/>
    <w:rsid w:val="00DB4386"/>
    <w:rsid w:val="00DB493C"/>
    <w:rsid w:val="00DB4DA7"/>
    <w:rsid w:val="00DB4EE8"/>
    <w:rsid w:val="00DB52D3"/>
    <w:rsid w:val="00DB71C1"/>
    <w:rsid w:val="00DB7DE4"/>
    <w:rsid w:val="00DC1498"/>
    <w:rsid w:val="00DC1B53"/>
    <w:rsid w:val="00DC2A83"/>
    <w:rsid w:val="00DC2BF5"/>
    <w:rsid w:val="00DC2D48"/>
    <w:rsid w:val="00DC2E61"/>
    <w:rsid w:val="00DC30E0"/>
    <w:rsid w:val="00DC31B4"/>
    <w:rsid w:val="00DC31FB"/>
    <w:rsid w:val="00DC339C"/>
    <w:rsid w:val="00DC33C6"/>
    <w:rsid w:val="00DC37DA"/>
    <w:rsid w:val="00DC4573"/>
    <w:rsid w:val="00DC46A6"/>
    <w:rsid w:val="00DC49DB"/>
    <w:rsid w:val="00DC4D8F"/>
    <w:rsid w:val="00DC4EF1"/>
    <w:rsid w:val="00DC5102"/>
    <w:rsid w:val="00DC61C5"/>
    <w:rsid w:val="00DC6360"/>
    <w:rsid w:val="00DC7349"/>
    <w:rsid w:val="00DC7DD1"/>
    <w:rsid w:val="00DD0D6B"/>
    <w:rsid w:val="00DD128B"/>
    <w:rsid w:val="00DD19ED"/>
    <w:rsid w:val="00DD1C48"/>
    <w:rsid w:val="00DD1D83"/>
    <w:rsid w:val="00DD27DC"/>
    <w:rsid w:val="00DD3428"/>
    <w:rsid w:val="00DD34B1"/>
    <w:rsid w:val="00DD4260"/>
    <w:rsid w:val="00DD4ABC"/>
    <w:rsid w:val="00DD4B25"/>
    <w:rsid w:val="00DD5079"/>
    <w:rsid w:val="00DD54FB"/>
    <w:rsid w:val="00DD575C"/>
    <w:rsid w:val="00DD63E3"/>
    <w:rsid w:val="00DD791C"/>
    <w:rsid w:val="00DD79D6"/>
    <w:rsid w:val="00DE0E99"/>
    <w:rsid w:val="00DE15F2"/>
    <w:rsid w:val="00DE1C00"/>
    <w:rsid w:val="00DE1F82"/>
    <w:rsid w:val="00DE1FFB"/>
    <w:rsid w:val="00DE2485"/>
    <w:rsid w:val="00DE25A7"/>
    <w:rsid w:val="00DE2E09"/>
    <w:rsid w:val="00DE3149"/>
    <w:rsid w:val="00DE357F"/>
    <w:rsid w:val="00DE4050"/>
    <w:rsid w:val="00DE4090"/>
    <w:rsid w:val="00DE4966"/>
    <w:rsid w:val="00DE4ADE"/>
    <w:rsid w:val="00DE512D"/>
    <w:rsid w:val="00DE5278"/>
    <w:rsid w:val="00DE547C"/>
    <w:rsid w:val="00DE54FE"/>
    <w:rsid w:val="00DE5681"/>
    <w:rsid w:val="00DE5AB1"/>
    <w:rsid w:val="00DE655C"/>
    <w:rsid w:val="00DE6B54"/>
    <w:rsid w:val="00DE786A"/>
    <w:rsid w:val="00DF0427"/>
    <w:rsid w:val="00DF060E"/>
    <w:rsid w:val="00DF06D7"/>
    <w:rsid w:val="00DF17AB"/>
    <w:rsid w:val="00DF191E"/>
    <w:rsid w:val="00DF196C"/>
    <w:rsid w:val="00DF26E9"/>
    <w:rsid w:val="00DF3544"/>
    <w:rsid w:val="00DF36AA"/>
    <w:rsid w:val="00DF4087"/>
    <w:rsid w:val="00DF419A"/>
    <w:rsid w:val="00DF4638"/>
    <w:rsid w:val="00DF4D9E"/>
    <w:rsid w:val="00DF53F6"/>
    <w:rsid w:val="00DF6486"/>
    <w:rsid w:val="00DF73AE"/>
    <w:rsid w:val="00DF7CD6"/>
    <w:rsid w:val="00E0016D"/>
    <w:rsid w:val="00E00B11"/>
    <w:rsid w:val="00E00C1C"/>
    <w:rsid w:val="00E00DB1"/>
    <w:rsid w:val="00E013C8"/>
    <w:rsid w:val="00E0151B"/>
    <w:rsid w:val="00E01679"/>
    <w:rsid w:val="00E0183D"/>
    <w:rsid w:val="00E01A05"/>
    <w:rsid w:val="00E01A1D"/>
    <w:rsid w:val="00E01D9E"/>
    <w:rsid w:val="00E01F3C"/>
    <w:rsid w:val="00E02DB7"/>
    <w:rsid w:val="00E0352A"/>
    <w:rsid w:val="00E039EB"/>
    <w:rsid w:val="00E03B03"/>
    <w:rsid w:val="00E03E65"/>
    <w:rsid w:val="00E040B6"/>
    <w:rsid w:val="00E046B1"/>
    <w:rsid w:val="00E05042"/>
    <w:rsid w:val="00E05C1F"/>
    <w:rsid w:val="00E11002"/>
    <w:rsid w:val="00E112DC"/>
    <w:rsid w:val="00E114A1"/>
    <w:rsid w:val="00E1179C"/>
    <w:rsid w:val="00E1184C"/>
    <w:rsid w:val="00E118A5"/>
    <w:rsid w:val="00E11974"/>
    <w:rsid w:val="00E11C79"/>
    <w:rsid w:val="00E1271A"/>
    <w:rsid w:val="00E135E0"/>
    <w:rsid w:val="00E13A08"/>
    <w:rsid w:val="00E13BC5"/>
    <w:rsid w:val="00E14430"/>
    <w:rsid w:val="00E145A7"/>
    <w:rsid w:val="00E145E9"/>
    <w:rsid w:val="00E1514F"/>
    <w:rsid w:val="00E15495"/>
    <w:rsid w:val="00E154CD"/>
    <w:rsid w:val="00E15831"/>
    <w:rsid w:val="00E15A84"/>
    <w:rsid w:val="00E160E5"/>
    <w:rsid w:val="00E16758"/>
    <w:rsid w:val="00E17253"/>
    <w:rsid w:val="00E176D4"/>
    <w:rsid w:val="00E17E0C"/>
    <w:rsid w:val="00E202E8"/>
    <w:rsid w:val="00E2037E"/>
    <w:rsid w:val="00E20652"/>
    <w:rsid w:val="00E206F0"/>
    <w:rsid w:val="00E2109A"/>
    <w:rsid w:val="00E21647"/>
    <w:rsid w:val="00E21B92"/>
    <w:rsid w:val="00E21BAD"/>
    <w:rsid w:val="00E22117"/>
    <w:rsid w:val="00E2241A"/>
    <w:rsid w:val="00E23711"/>
    <w:rsid w:val="00E24289"/>
    <w:rsid w:val="00E2454A"/>
    <w:rsid w:val="00E2456F"/>
    <w:rsid w:val="00E24F2E"/>
    <w:rsid w:val="00E25692"/>
    <w:rsid w:val="00E265F7"/>
    <w:rsid w:val="00E2682A"/>
    <w:rsid w:val="00E26DCC"/>
    <w:rsid w:val="00E273C6"/>
    <w:rsid w:val="00E27426"/>
    <w:rsid w:val="00E27907"/>
    <w:rsid w:val="00E27EDB"/>
    <w:rsid w:val="00E27FBB"/>
    <w:rsid w:val="00E3072C"/>
    <w:rsid w:val="00E30F19"/>
    <w:rsid w:val="00E31617"/>
    <w:rsid w:val="00E31BE8"/>
    <w:rsid w:val="00E3212C"/>
    <w:rsid w:val="00E32424"/>
    <w:rsid w:val="00E324FA"/>
    <w:rsid w:val="00E328F8"/>
    <w:rsid w:val="00E32B2A"/>
    <w:rsid w:val="00E33951"/>
    <w:rsid w:val="00E33F52"/>
    <w:rsid w:val="00E33F65"/>
    <w:rsid w:val="00E34124"/>
    <w:rsid w:val="00E34AD1"/>
    <w:rsid w:val="00E34C67"/>
    <w:rsid w:val="00E34DBD"/>
    <w:rsid w:val="00E3500F"/>
    <w:rsid w:val="00E3520F"/>
    <w:rsid w:val="00E36856"/>
    <w:rsid w:val="00E36CD3"/>
    <w:rsid w:val="00E36F7A"/>
    <w:rsid w:val="00E36FA0"/>
    <w:rsid w:val="00E374C2"/>
    <w:rsid w:val="00E37931"/>
    <w:rsid w:val="00E379DD"/>
    <w:rsid w:val="00E37D80"/>
    <w:rsid w:val="00E37DB2"/>
    <w:rsid w:val="00E37DD8"/>
    <w:rsid w:val="00E406AB"/>
    <w:rsid w:val="00E40A51"/>
    <w:rsid w:val="00E40B49"/>
    <w:rsid w:val="00E40F14"/>
    <w:rsid w:val="00E41215"/>
    <w:rsid w:val="00E41773"/>
    <w:rsid w:val="00E41D23"/>
    <w:rsid w:val="00E41EAB"/>
    <w:rsid w:val="00E424F9"/>
    <w:rsid w:val="00E42B42"/>
    <w:rsid w:val="00E4369D"/>
    <w:rsid w:val="00E44A9B"/>
    <w:rsid w:val="00E44F4A"/>
    <w:rsid w:val="00E455B1"/>
    <w:rsid w:val="00E4596F"/>
    <w:rsid w:val="00E45C01"/>
    <w:rsid w:val="00E464C7"/>
    <w:rsid w:val="00E4652A"/>
    <w:rsid w:val="00E46612"/>
    <w:rsid w:val="00E46754"/>
    <w:rsid w:val="00E46C13"/>
    <w:rsid w:val="00E4772C"/>
    <w:rsid w:val="00E5019B"/>
    <w:rsid w:val="00E50A83"/>
    <w:rsid w:val="00E50CB7"/>
    <w:rsid w:val="00E51099"/>
    <w:rsid w:val="00E51240"/>
    <w:rsid w:val="00E515B6"/>
    <w:rsid w:val="00E52166"/>
    <w:rsid w:val="00E5224E"/>
    <w:rsid w:val="00E52AF6"/>
    <w:rsid w:val="00E52B14"/>
    <w:rsid w:val="00E52D17"/>
    <w:rsid w:val="00E531D4"/>
    <w:rsid w:val="00E53836"/>
    <w:rsid w:val="00E53B66"/>
    <w:rsid w:val="00E53C22"/>
    <w:rsid w:val="00E53E96"/>
    <w:rsid w:val="00E54100"/>
    <w:rsid w:val="00E54394"/>
    <w:rsid w:val="00E54D1A"/>
    <w:rsid w:val="00E55747"/>
    <w:rsid w:val="00E56419"/>
    <w:rsid w:val="00E564DB"/>
    <w:rsid w:val="00E56734"/>
    <w:rsid w:val="00E5683C"/>
    <w:rsid w:val="00E56937"/>
    <w:rsid w:val="00E569FE"/>
    <w:rsid w:val="00E56DB5"/>
    <w:rsid w:val="00E56F8C"/>
    <w:rsid w:val="00E571D3"/>
    <w:rsid w:val="00E57CF0"/>
    <w:rsid w:val="00E60902"/>
    <w:rsid w:val="00E61402"/>
    <w:rsid w:val="00E61FE2"/>
    <w:rsid w:val="00E62335"/>
    <w:rsid w:val="00E626E6"/>
    <w:rsid w:val="00E627CE"/>
    <w:rsid w:val="00E628FE"/>
    <w:rsid w:val="00E62A9A"/>
    <w:rsid w:val="00E630B8"/>
    <w:rsid w:val="00E631CC"/>
    <w:rsid w:val="00E63253"/>
    <w:rsid w:val="00E6363B"/>
    <w:rsid w:val="00E6375F"/>
    <w:rsid w:val="00E64581"/>
    <w:rsid w:val="00E64EC5"/>
    <w:rsid w:val="00E65372"/>
    <w:rsid w:val="00E65940"/>
    <w:rsid w:val="00E65A2E"/>
    <w:rsid w:val="00E66EAA"/>
    <w:rsid w:val="00E66F35"/>
    <w:rsid w:val="00E70921"/>
    <w:rsid w:val="00E70C84"/>
    <w:rsid w:val="00E712BF"/>
    <w:rsid w:val="00E71506"/>
    <w:rsid w:val="00E720C3"/>
    <w:rsid w:val="00E732F3"/>
    <w:rsid w:val="00E734B1"/>
    <w:rsid w:val="00E747D9"/>
    <w:rsid w:val="00E74FDF"/>
    <w:rsid w:val="00E76523"/>
    <w:rsid w:val="00E766EC"/>
    <w:rsid w:val="00E767EC"/>
    <w:rsid w:val="00E76AEF"/>
    <w:rsid w:val="00E76F4F"/>
    <w:rsid w:val="00E77203"/>
    <w:rsid w:val="00E7748C"/>
    <w:rsid w:val="00E77531"/>
    <w:rsid w:val="00E777C4"/>
    <w:rsid w:val="00E7788B"/>
    <w:rsid w:val="00E77D93"/>
    <w:rsid w:val="00E80831"/>
    <w:rsid w:val="00E82297"/>
    <w:rsid w:val="00E825AF"/>
    <w:rsid w:val="00E826DC"/>
    <w:rsid w:val="00E8327E"/>
    <w:rsid w:val="00E83EF7"/>
    <w:rsid w:val="00E843D2"/>
    <w:rsid w:val="00E84493"/>
    <w:rsid w:val="00E8462A"/>
    <w:rsid w:val="00E849F8"/>
    <w:rsid w:val="00E8549C"/>
    <w:rsid w:val="00E85D87"/>
    <w:rsid w:val="00E8653B"/>
    <w:rsid w:val="00E866FF"/>
    <w:rsid w:val="00E86A26"/>
    <w:rsid w:val="00E87427"/>
    <w:rsid w:val="00E874BA"/>
    <w:rsid w:val="00E87661"/>
    <w:rsid w:val="00E9093B"/>
    <w:rsid w:val="00E90A1C"/>
    <w:rsid w:val="00E917F7"/>
    <w:rsid w:val="00E91B4B"/>
    <w:rsid w:val="00E9318C"/>
    <w:rsid w:val="00E93960"/>
    <w:rsid w:val="00E93E1C"/>
    <w:rsid w:val="00E94201"/>
    <w:rsid w:val="00E94F0B"/>
    <w:rsid w:val="00E95482"/>
    <w:rsid w:val="00E95934"/>
    <w:rsid w:val="00E96158"/>
    <w:rsid w:val="00E9685F"/>
    <w:rsid w:val="00E9760C"/>
    <w:rsid w:val="00E976DD"/>
    <w:rsid w:val="00E97AB6"/>
    <w:rsid w:val="00E97BA9"/>
    <w:rsid w:val="00E97BC2"/>
    <w:rsid w:val="00EA066B"/>
    <w:rsid w:val="00EA1204"/>
    <w:rsid w:val="00EA1B51"/>
    <w:rsid w:val="00EA2446"/>
    <w:rsid w:val="00EA245B"/>
    <w:rsid w:val="00EA269C"/>
    <w:rsid w:val="00EA28B1"/>
    <w:rsid w:val="00EA3994"/>
    <w:rsid w:val="00EA3B3B"/>
    <w:rsid w:val="00EA4D4B"/>
    <w:rsid w:val="00EA5555"/>
    <w:rsid w:val="00EA55E6"/>
    <w:rsid w:val="00EA5616"/>
    <w:rsid w:val="00EA678D"/>
    <w:rsid w:val="00EA694A"/>
    <w:rsid w:val="00EA7D4E"/>
    <w:rsid w:val="00EB1B96"/>
    <w:rsid w:val="00EB2914"/>
    <w:rsid w:val="00EB2C7D"/>
    <w:rsid w:val="00EB2D2D"/>
    <w:rsid w:val="00EB4B15"/>
    <w:rsid w:val="00EB4DDE"/>
    <w:rsid w:val="00EB4E2F"/>
    <w:rsid w:val="00EB50AE"/>
    <w:rsid w:val="00EB55DF"/>
    <w:rsid w:val="00EB5F53"/>
    <w:rsid w:val="00EB6CA2"/>
    <w:rsid w:val="00EB6FEE"/>
    <w:rsid w:val="00EB74A2"/>
    <w:rsid w:val="00EB7722"/>
    <w:rsid w:val="00EB7799"/>
    <w:rsid w:val="00EC02ED"/>
    <w:rsid w:val="00EC0A3F"/>
    <w:rsid w:val="00EC0ABD"/>
    <w:rsid w:val="00EC0D18"/>
    <w:rsid w:val="00EC115F"/>
    <w:rsid w:val="00EC18DE"/>
    <w:rsid w:val="00EC1F46"/>
    <w:rsid w:val="00EC25A7"/>
    <w:rsid w:val="00EC27EC"/>
    <w:rsid w:val="00EC2C0F"/>
    <w:rsid w:val="00EC2FAD"/>
    <w:rsid w:val="00EC3699"/>
    <w:rsid w:val="00EC39EC"/>
    <w:rsid w:val="00EC3BD1"/>
    <w:rsid w:val="00EC4125"/>
    <w:rsid w:val="00EC4F67"/>
    <w:rsid w:val="00EC4FEE"/>
    <w:rsid w:val="00EC52DC"/>
    <w:rsid w:val="00EC62F5"/>
    <w:rsid w:val="00EC63AF"/>
    <w:rsid w:val="00EC6B48"/>
    <w:rsid w:val="00EC6CD9"/>
    <w:rsid w:val="00EC6EA7"/>
    <w:rsid w:val="00EC722C"/>
    <w:rsid w:val="00EC73B8"/>
    <w:rsid w:val="00EC7586"/>
    <w:rsid w:val="00EC75B1"/>
    <w:rsid w:val="00EC764F"/>
    <w:rsid w:val="00ED0C0E"/>
    <w:rsid w:val="00ED17DD"/>
    <w:rsid w:val="00ED2B53"/>
    <w:rsid w:val="00ED30F1"/>
    <w:rsid w:val="00ED38A5"/>
    <w:rsid w:val="00ED3D17"/>
    <w:rsid w:val="00ED401D"/>
    <w:rsid w:val="00ED4B7A"/>
    <w:rsid w:val="00ED4E62"/>
    <w:rsid w:val="00ED4F56"/>
    <w:rsid w:val="00ED50B8"/>
    <w:rsid w:val="00ED56F1"/>
    <w:rsid w:val="00ED570F"/>
    <w:rsid w:val="00ED5A2E"/>
    <w:rsid w:val="00ED5BC5"/>
    <w:rsid w:val="00ED5DDC"/>
    <w:rsid w:val="00ED5F02"/>
    <w:rsid w:val="00ED6534"/>
    <w:rsid w:val="00ED669E"/>
    <w:rsid w:val="00ED694D"/>
    <w:rsid w:val="00ED6AFB"/>
    <w:rsid w:val="00ED709A"/>
    <w:rsid w:val="00ED76DA"/>
    <w:rsid w:val="00EE0017"/>
    <w:rsid w:val="00EE0035"/>
    <w:rsid w:val="00EE0502"/>
    <w:rsid w:val="00EE09CF"/>
    <w:rsid w:val="00EE1322"/>
    <w:rsid w:val="00EE1662"/>
    <w:rsid w:val="00EE1893"/>
    <w:rsid w:val="00EE1CB4"/>
    <w:rsid w:val="00EE1E4D"/>
    <w:rsid w:val="00EE2183"/>
    <w:rsid w:val="00EE22E6"/>
    <w:rsid w:val="00EE286C"/>
    <w:rsid w:val="00EE3360"/>
    <w:rsid w:val="00EE3594"/>
    <w:rsid w:val="00EE543C"/>
    <w:rsid w:val="00EE5D76"/>
    <w:rsid w:val="00EE6AC6"/>
    <w:rsid w:val="00EE6DCF"/>
    <w:rsid w:val="00EE72CE"/>
    <w:rsid w:val="00EE745C"/>
    <w:rsid w:val="00EE78CA"/>
    <w:rsid w:val="00EE79D8"/>
    <w:rsid w:val="00EE7E86"/>
    <w:rsid w:val="00EF088C"/>
    <w:rsid w:val="00EF0B68"/>
    <w:rsid w:val="00EF0B94"/>
    <w:rsid w:val="00EF0E40"/>
    <w:rsid w:val="00EF1240"/>
    <w:rsid w:val="00EF1F44"/>
    <w:rsid w:val="00EF296A"/>
    <w:rsid w:val="00EF34B2"/>
    <w:rsid w:val="00EF3771"/>
    <w:rsid w:val="00EF383E"/>
    <w:rsid w:val="00EF39D1"/>
    <w:rsid w:val="00EF46EA"/>
    <w:rsid w:val="00EF5289"/>
    <w:rsid w:val="00EF579F"/>
    <w:rsid w:val="00EF61E9"/>
    <w:rsid w:val="00EF696B"/>
    <w:rsid w:val="00EF71C1"/>
    <w:rsid w:val="00EF780D"/>
    <w:rsid w:val="00F002C7"/>
    <w:rsid w:val="00F00353"/>
    <w:rsid w:val="00F008DD"/>
    <w:rsid w:val="00F0159C"/>
    <w:rsid w:val="00F016A5"/>
    <w:rsid w:val="00F02232"/>
    <w:rsid w:val="00F02328"/>
    <w:rsid w:val="00F02364"/>
    <w:rsid w:val="00F02A87"/>
    <w:rsid w:val="00F02C45"/>
    <w:rsid w:val="00F02F1C"/>
    <w:rsid w:val="00F03263"/>
    <w:rsid w:val="00F03422"/>
    <w:rsid w:val="00F03A97"/>
    <w:rsid w:val="00F03CDE"/>
    <w:rsid w:val="00F043AC"/>
    <w:rsid w:val="00F044AD"/>
    <w:rsid w:val="00F045CE"/>
    <w:rsid w:val="00F04BE6"/>
    <w:rsid w:val="00F04C30"/>
    <w:rsid w:val="00F0591B"/>
    <w:rsid w:val="00F05974"/>
    <w:rsid w:val="00F06173"/>
    <w:rsid w:val="00F06270"/>
    <w:rsid w:val="00F06884"/>
    <w:rsid w:val="00F06BB8"/>
    <w:rsid w:val="00F06CD4"/>
    <w:rsid w:val="00F06EAE"/>
    <w:rsid w:val="00F06F0A"/>
    <w:rsid w:val="00F07236"/>
    <w:rsid w:val="00F07290"/>
    <w:rsid w:val="00F07B06"/>
    <w:rsid w:val="00F07B1D"/>
    <w:rsid w:val="00F07DBD"/>
    <w:rsid w:val="00F10179"/>
    <w:rsid w:val="00F103CD"/>
    <w:rsid w:val="00F104FE"/>
    <w:rsid w:val="00F1148B"/>
    <w:rsid w:val="00F11A95"/>
    <w:rsid w:val="00F11B52"/>
    <w:rsid w:val="00F11E41"/>
    <w:rsid w:val="00F12705"/>
    <w:rsid w:val="00F12A2B"/>
    <w:rsid w:val="00F12E80"/>
    <w:rsid w:val="00F12FD3"/>
    <w:rsid w:val="00F13075"/>
    <w:rsid w:val="00F1337B"/>
    <w:rsid w:val="00F1349D"/>
    <w:rsid w:val="00F13894"/>
    <w:rsid w:val="00F13988"/>
    <w:rsid w:val="00F13A7B"/>
    <w:rsid w:val="00F14023"/>
    <w:rsid w:val="00F140A0"/>
    <w:rsid w:val="00F142A5"/>
    <w:rsid w:val="00F14637"/>
    <w:rsid w:val="00F148D4"/>
    <w:rsid w:val="00F14E59"/>
    <w:rsid w:val="00F15968"/>
    <w:rsid w:val="00F15972"/>
    <w:rsid w:val="00F15C43"/>
    <w:rsid w:val="00F160DB"/>
    <w:rsid w:val="00F16112"/>
    <w:rsid w:val="00F166E7"/>
    <w:rsid w:val="00F166F2"/>
    <w:rsid w:val="00F168BF"/>
    <w:rsid w:val="00F17132"/>
    <w:rsid w:val="00F17776"/>
    <w:rsid w:val="00F17B09"/>
    <w:rsid w:val="00F17BC2"/>
    <w:rsid w:val="00F17CC5"/>
    <w:rsid w:val="00F20664"/>
    <w:rsid w:val="00F20AAF"/>
    <w:rsid w:val="00F21321"/>
    <w:rsid w:val="00F21962"/>
    <w:rsid w:val="00F22558"/>
    <w:rsid w:val="00F22723"/>
    <w:rsid w:val="00F22F61"/>
    <w:rsid w:val="00F235FB"/>
    <w:rsid w:val="00F237AC"/>
    <w:rsid w:val="00F23A28"/>
    <w:rsid w:val="00F248A1"/>
    <w:rsid w:val="00F2497D"/>
    <w:rsid w:val="00F2507A"/>
    <w:rsid w:val="00F25AB9"/>
    <w:rsid w:val="00F2646C"/>
    <w:rsid w:val="00F269F2"/>
    <w:rsid w:val="00F26B0B"/>
    <w:rsid w:val="00F26F19"/>
    <w:rsid w:val="00F271AC"/>
    <w:rsid w:val="00F2739C"/>
    <w:rsid w:val="00F2743D"/>
    <w:rsid w:val="00F27531"/>
    <w:rsid w:val="00F307EA"/>
    <w:rsid w:val="00F31FCD"/>
    <w:rsid w:val="00F322A8"/>
    <w:rsid w:val="00F32700"/>
    <w:rsid w:val="00F3300E"/>
    <w:rsid w:val="00F33052"/>
    <w:rsid w:val="00F3327B"/>
    <w:rsid w:val="00F33638"/>
    <w:rsid w:val="00F33E00"/>
    <w:rsid w:val="00F33F49"/>
    <w:rsid w:val="00F34173"/>
    <w:rsid w:val="00F344A7"/>
    <w:rsid w:val="00F348BA"/>
    <w:rsid w:val="00F34D51"/>
    <w:rsid w:val="00F35264"/>
    <w:rsid w:val="00F35774"/>
    <w:rsid w:val="00F358D6"/>
    <w:rsid w:val="00F35DC7"/>
    <w:rsid w:val="00F360C2"/>
    <w:rsid w:val="00F364BC"/>
    <w:rsid w:val="00F368B1"/>
    <w:rsid w:val="00F3701E"/>
    <w:rsid w:val="00F3723E"/>
    <w:rsid w:val="00F373DA"/>
    <w:rsid w:val="00F3778B"/>
    <w:rsid w:val="00F37B20"/>
    <w:rsid w:val="00F37B67"/>
    <w:rsid w:val="00F40533"/>
    <w:rsid w:val="00F40568"/>
    <w:rsid w:val="00F40B02"/>
    <w:rsid w:val="00F40C45"/>
    <w:rsid w:val="00F41B24"/>
    <w:rsid w:val="00F42169"/>
    <w:rsid w:val="00F4271E"/>
    <w:rsid w:val="00F42AB5"/>
    <w:rsid w:val="00F42E43"/>
    <w:rsid w:val="00F42F82"/>
    <w:rsid w:val="00F42FB7"/>
    <w:rsid w:val="00F43089"/>
    <w:rsid w:val="00F43B63"/>
    <w:rsid w:val="00F44AEF"/>
    <w:rsid w:val="00F44B04"/>
    <w:rsid w:val="00F44D5D"/>
    <w:rsid w:val="00F45072"/>
    <w:rsid w:val="00F45258"/>
    <w:rsid w:val="00F452E5"/>
    <w:rsid w:val="00F4575A"/>
    <w:rsid w:val="00F45C1E"/>
    <w:rsid w:val="00F462B6"/>
    <w:rsid w:val="00F46B94"/>
    <w:rsid w:val="00F47963"/>
    <w:rsid w:val="00F5027A"/>
    <w:rsid w:val="00F504CE"/>
    <w:rsid w:val="00F50A6F"/>
    <w:rsid w:val="00F513EC"/>
    <w:rsid w:val="00F51617"/>
    <w:rsid w:val="00F51ED3"/>
    <w:rsid w:val="00F5209C"/>
    <w:rsid w:val="00F5295A"/>
    <w:rsid w:val="00F52E9C"/>
    <w:rsid w:val="00F530E9"/>
    <w:rsid w:val="00F53575"/>
    <w:rsid w:val="00F54AFB"/>
    <w:rsid w:val="00F550D5"/>
    <w:rsid w:val="00F55521"/>
    <w:rsid w:val="00F55A94"/>
    <w:rsid w:val="00F55C9F"/>
    <w:rsid w:val="00F56B9D"/>
    <w:rsid w:val="00F570DD"/>
    <w:rsid w:val="00F57B2A"/>
    <w:rsid w:val="00F60631"/>
    <w:rsid w:val="00F61F9F"/>
    <w:rsid w:val="00F62063"/>
    <w:rsid w:val="00F624BC"/>
    <w:rsid w:val="00F6266E"/>
    <w:rsid w:val="00F629FB"/>
    <w:rsid w:val="00F6333F"/>
    <w:rsid w:val="00F6344D"/>
    <w:rsid w:val="00F6366A"/>
    <w:rsid w:val="00F63773"/>
    <w:rsid w:val="00F6386F"/>
    <w:rsid w:val="00F639D9"/>
    <w:rsid w:val="00F63FF7"/>
    <w:rsid w:val="00F6414B"/>
    <w:rsid w:val="00F641D4"/>
    <w:rsid w:val="00F6482A"/>
    <w:rsid w:val="00F64964"/>
    <w:rsid w:val="00F64DD1"/>
    <w:rsid w:val="00F64E16"/>
    <w:rsid w:val="00F65279"/>
    <w:rsid w:val="00F652A4"/>
    <w:rsid w:val="00F657B9"/>
    <w:rsid w:val="00F65B4D"/>
    <w:rsid w:val="00F660C0"/>
    <w:rsid w:val="00F66110"/>
    <w:rsid w:val="00F66C7F"/>
    <w:rsid w:val="00F67878"/>
    <w:rsid w:val="00F67DB2"/>
    <w:rsid w:val="00F67EFF"/>
    <w:rsid w:val="00F70057"/>
    <w:rsid w:val="00F7076C"/>
    <w:rsid w:val="00F718C3"/>
    <w:rsid w:val="00F722D9"/>
    <w:rsid w:val="00F72796"/>
    <w:rsid w:val="00F73107"/>
    <w:rsid w:val="00F73161"/>
    <w:rsid w:val="00F7351E"/>
    <w:rsid w:val="00F735EB"/>
    <w:rsid w:val="00F73C6C"/>
    <w:rsid w:val="00F74681"/>
    <w:rsid w:val="00F746D5"/>
    <w:rsid w:val="00F74DAE"/>
    <w:rsid w:val="00F75215"/>
    <w:rsid w:val="00F755F5"/>
    <w:rsid w:val="00F75FDE"/>
    <w:rsid w:val="00F76A98"/>
    <w:rsid w:val="00F76C2A"/>
    <w:rsid w:val="00F76EAC"/>
    <w:rsid w:val="00F76FB8"/>
    <w:rsid w:val="00F7734B"/>
    <w:rsid w:val="00F80019"/>
    <w:rsid w:val="00F81677"/>
    <w:rsid w:val="00F820EB"/>
    <w:rsid w:val="00F826AA"/>
    <w:rsid w:val="00F82809"/>
    <w:rsid w:val="00F82A31"/>
    <w:rsid w:val="00F82E08"/>
    <w:rsid w:val="00F82FD0"/>
    <w:rsid w:val="00F83325"/>
    <w:rsid w:val="00F8350C"/>
    <w:rsid w:val="00F83D5F"/>
    <w:rsid w:val="00F83EE3"/>
    <w:rsid w:val="00F8562F"/>
    <w:rsid w:val="00F862B0"/>
    <w:rsid w:val="00F8675C"/>
    <w:rsid w:val="00F867AD"/>
    <w:rsid w:val="00F870A8"/>
    <w:rsid w:val="00F915AD"/>
    <w:rsid w:val="00F91F05"/>
    <w:rsid w:val="00F92044"/>
    <w:rsid w:val="00F9260B"/>
    <w:rsid w:val="00F92E61"/>
    <w:rsid w:val="00F92EFC"/>
    <w:rsid w:val="00F935D8"/>
    <w:rsid w:val="00F93D02"/>
    <w:rsid w:val="00F945FB"/>
    <w:rsid w:val="00F9480E"/>
    <w:rsid w:val="00F9652F"/>
    <w:rsid w:val="00F968F2"/>
    <w:rsid w:val="00F969AE"/>
    <w:rsid w:val="00F96C65"/>
    <w:rsid w:val="00F96CAD"/>
    <w:rsid w:val="00F97C0B"/>
    <w:rsid w:val="00FA0105"/>
    <w:rsid w:val="00FA0575"/>
    <w:rsid w:val="00FA1251"/>
    <w:rsid w:val="00FA1692"/>
    <w:rsid w:val="00FA22AE"/>
    <w:rsid w:val="00FA23D8"/>
    <w:rsid w:val="00FA2504"/>
    <w:rsid w:val="00FA27BE"/>
    <w:rsid w:val="00FA2CF1"/>
    <w:rsid w:val="00FA31FA"/>
    <w:rsid w:val="00FA399B"/>
    <w:rsid w:val="00FA492C"/>
    <w:rsid w:val="00FA54B1"/>
    <w:rsid w:val="00FA574E"/>
    <w:rsid w:val="00FA5778"/>
    <w:rsid w:val="00FA59FD"/>
    <w:rsid w:val="00FA628C"/>
    <w:rsid w:val="00FA6714"/>
    <w:rsid w:val="00FA6856"/>
    <w:rsid w:val="00FA6C37"/>
    <w:rsid w:val="00FA710B"/>
    <w:rsid w:val="00FA7B1F"/>
    <w:rsid w:val="00FB075E"/>
    <w:rsid w:val="00FB101E"/>
    <w:rsid w:val="00FB17DC"/>
    <w:rsid w:val="00FB28D9"/>
    <w:rsid w:val="00FB2AED"/>
    <w:rsid w:val="00FB2BFD"/>
    <w:rsid w:val="00FB3757"/>
    <w:rsid w:val="00FB3B19"/>
    <w:rsid w:val="00FB42F4"/>
    <w:rsid w:val="00FB4AAB"/>
    <w:rsid w:val="00FB4FB4"/>
    <w:rsid w:val="00FB5492"/>
    <w:rsid w:val="00FB562E"/>
    <w:rsid w:val="00FB6067"/>
    <w:rsid w:val="00FB61AE"/>
    <w:rsid w:val="00FB6A6C"/>
    <w:rsid w:val="00FB6A97"/>
    <w:rsid w:val="00FB7032"/>
    <w:rsid w:val="00FB768F"/>
    <w:rsid w:val="00FB78E7"/>
    <w:rsid w:val="00FC030A"/>
    <w:rsid w:val="00FC0A01"/>
    <w:rsid w:val="00FC0A1B"/>
    <w:rsid w:val="00FC0DC5"/>
    <w:rsid w:val="00FC0E4D"/>
    <w:rsid w:val="00FC1033"/>
    <w:rsid w:val="00FC215E"/>
    <w:rsid w:val="00FC2435"/>
    <w:rsid w:val="00FC2618"/>
    <w:rsid w:val="00FC314C"/>
    <w:rsid w:val="00FC36A3"/>
    <w:rsid w:val="00FC3A50"/>
    <w:rsid w:val="00FC3C78"/>
    <w:rsid w:val="00FC3ED3"/>
    <w:rsid w:val="00FC4C87"/>
    <w:rsid w:val="00FC4D80"/>
    <w:rsid w:val="00FC56B8"/>
    <w:rsid w:val="00FC5B73"/>
    <w:rsid w:val="00FC665E"/>
    <w:rsid w:val="00FC718E"/>
    <w:rsid w:val="00FC76D2"/>
    <w:rsid w:val="00FC7D15"/>
    <w:rsid w:val="00FC7E88"/>
    <w:rsid w:val="00FC7E9D"/>
    <w:rsid w:val="00FD001E"/>
    <w:rsid w:val="00FD0484"/>
    <w:rsid w:val="00FD0875"/>
    <w:rsid w:val="00FD19EB"/>
    <w:rsid w:val="00FD1CCF"/>
    <w:rsid w:val="00FD2027"/>
    <w:rsid w:val="00FD3353"/>
    <w:rsid w:val="00FD3358"/>
    <w:rsid w:val="00FD4200"/>
    <w:rsid w:val="00FD4966"/>
    <w:rsid w:val="00FD540D"/>
    <w:rsid w:val="00FD54E8"/>
    <w:rsid w:val="00FD59A1"/>
    <w:rsid w:val="00FD645F"/>
    <w:rsid w:val="00FE00DC"/>
    <w:rsid w:val="00FE0167"/>
    <w:rsid w:val="00FE02B2"/>
    <w:rsid w:val="00FE0588"/>
    <w:rsid w:val="00FE06F3"/>
    <w:rsid w:val="00FE0968"/>
    <w:rsid w:val="00FE0BE8"/>
    <w:rsid w:val="00FE195C"/>
    <w:rsid w:val="00FE195F"/>
    <w:rsid w:val="00FE1DBD"/>
    <w:rsid w:val="00FE22F2"/>
    <w:rsid w:val="00FE2490"/>
    <w:rsid w:val="00FE2658"/>
    <w:rsid w:val="00FE27EF"/>
    <w:rsid w:val="00FE28FC"/>
    <w:rsid w:val="00FE2B99"/>
    <w:rsid w:val="00FE3068"/>
    <w:rsid w:val="00FE39F7"/>
    <w:rsid w:val="00FE3AED"/>
    <w:rsid w:val="00FE3C78"/>
    <w:rsid w:val="00FE3D58"/>
    <w:rsid w:val="00FE46E2"/>
    <w:rsid w:val="00FE4B66"/>
    <w:rsid w:val="00FE4D03"/>
    <w:rsid w:val="00FE5D50"/>
    <w:rsid w:val="00FE6AB5"/>
    <w:rsid w:val="00FE6B71"/>
    <w:rsid w:val="00FE6F39"/>
    <w:rsid w:val="00FE761A"/>
    <w:rsid w:val="00FE767B"/>
    <w:rsid w:val="00FE7AC9"/>
    <w:rsid w:val="00FF02A3"/>
    <w:rsid w:val="00FF0997"/>
    <w:rsid w:val="00FF0DB2"/>
    <w:rsid w:val="00FF17C0"/>
    <w:rsid w:val="00FF1C53"/>
    <w:rsid w:val="00FF1C95"/>
    <w:rsid w:val="00FF25B6"/>
    <w:rsid w:val="00FF26E3"/>
    <w:rsid w:val="00FF2B39"/>
    <w:rsid w:val="00FF2C1E"/>
    <w:rsid w:val="00FF2EDB"/>
    <w:rsid w:val="00FF300F"/>
    <w:rsid w:val="00FF3734"/>
    <w:rsid w:val="00FF37A8"/>
    <w:rsid w:val="00FF382E"/>
    <w:rsid w:val="00FF3A4D"/>
    <w:rsid w:val="00FF3D87"/>
    <w:rsid w:val="00FF3DA2"/>
    <w:rsid w:val="00FF3F54"/>
    <w:rsid w:val="00FF4BA9"/>
    <w:rsid w:val="00FF4C13"/>
    <w:rsid w:val="00FF5414"/>
    <w:rsid w:val="00FF5ADA"/>
    <w:rsid w:val="00FF5D43"/>
    <w:rsid w:val="00FF646E"/>
    <w:rsid w:val="00FF66A3"/>
    <w:rsid w:val="00FF6B78"/>
    <w:rsid w:val="00FF6D7F"/>
    <w:rsid w:val="00FF73EB"/>
    <w:rsid w:val="00FF79B5"/>
    <w:rsid w:val="00FF7ECC"/>
    <w:rsid w:val="00FF7F99"/>
    <w:rsid w:val="02363F9B"/>
    <w:rsid w:val="031F5857"/>
    <w:rsid w:val="04567BC1"/>
    <w:rsid w:val="0544358B"/>
    <w:rsid w:val="054E3885"/>
    <w:rsid w:val="059D4DD4"/>
    <w:rsid w:val="05F72B50"/>
    <w:rsid w:val="0625692C"/>
    <w:rsid w:val="06872812"/>
    <w:rsid w:val="07B23314"/>
    <w:rsid w:val="08055CF0"/>
    <w:rsid w:val="08C8317A"/>
    <w:rsid w:val="08E90E76"/>
    <w:rsid w:val="0BAF388F"/>
    <w:rsid w:val="0BDF3774"/>
    <w:rsid w:val="0C1E5AA2"/>
    <w:rsid w:val="0C6A46D8"/>
    <w:rsid w:val="0C7A53B2"/>
    <w:rsid w:val="0CBC3CAA"/>
    <w:rsid w:val="0CC12941"/>
    <w:rsid w:val="0D275134"/>
    <w:rsid w:val="0D403934"/>
    <w:rsid w:val="0D4A0B2F"/>
    <w:rsid w:val="0D9045F9"/>
    <w:rsid w:val="0E0D4B1D"/>
    <w:rsid w:val="0F131A7E"/>
    <w:rsid w:val="100E5437"/>
    <w:rsid w:val="103A2EA9"/>
    <w:rsid w:val="108B0D18"/>
    <w:rsid w:val="10E03E7B"/>
    <w:rsid w:val="12473C6B"/>
    <w:rsid w:val="142420D7"/>
    <w:rsid w:val="166E74A2"/>
    <w:rsid w:val="17542F5E"/>
    <w:rsid w:val="176B5073"/>
    <w:rsid w:val="178841B0"/>
    <w:rsid w:val="1878441F"/>
    <w:rsid w:val="190A1374"/>
    <w:rsid w:val="19505B4A"/>
    <w:rsid w:val="1B1D450D"/>
    <w:rsid w:val="1B895626"/>
    <w:rsid w:val="1C0A3439"/>
    <w:rsid w:val="1C331705"/>
    <w:rsid w:val="1D2C5DE8"/>
    <w:rsid w:val="1DD7576E"/>
    <w:rsid w:val="1DE551AE"/>
    <w:rsid w:val="1E2C3B3A"/>
    <w:rsid w:val="1E5014A3"/>
    <w:rsid w:val="1EDB4AE3"/>
    <w:rsid w:val="1F155208"/>
    <w:rsid w:val="20F62BF6"/>
    <w:rsid w:val="22296093"/>
    <w:rsid w:val="229414D9"/>
    <w:rsid w:val="2353586E"/>
    <w:rsid w:val="2536691F"/>
    <w:rsid w:val="25663D37"/>
    <w:rsid w:val="261D4AA1"/>
    <w:rsid w:val="2630419C"/>
    <w:rsid w:val="26880BF5"/>
    <w:rsid w:val="26FC11B2"/>
    <w:rsid w:val="2818263D"/>
    <w:rsid w:val="28675F60"/>
    <w:rsid w:val="28912F73"/>
    <w:rsid w:val="28AE6C07"/>
    <w:rsid w:val="29C24AF8"/>
    <w:rsid w:val="2A5C1EE1"/>
    <w:rsid w:val="2A5C2272"/>
    <w:rsid w:val="2A817189"/>
    <w:rsid w:val="2A84523B"/>
    <w:rsid w:val="2ACC68E3"/>
    <w:rsid w:val="2B134466"/>
    <w:rsid w:val="2B3A280C"/>
    <w:rsid w:val="2B7C6EDA"/>
    <w:rsid w:val="2BA22264"/>
    <w:rsid w:val="2C1251D7"/>
    <w:rsid w:val="2CDF1768"/>
    <w:rsid w:val="2D432AEA"/>
    <w:rsid w:val="2DDB156F"/>
    <w:rsid w:val="2DE624FF"/>
    <w:rsid w:val="2EBF7B3F"/>
    <w:rsid w:val="2F65799D"/>
    <w:rsid w:val="2FD45E27"/>
    <w:rsid w:val="30A728D6"/>
    <w:rsid w:val="31937B57"/>
    <w:rsid w:val="31BA1B92"/>
    <w:rsid w:val="329A70CF"/>
    <w:rsid w:val="33D56A19"/>
    <w:rsid w:val="34C5669A"/>
    <w:rsid w:val="34F97956"/>
    <w:rsid w:val="377111D2"/>
    <w:rsid w:val="38937D32"/>
    <w:rsid w:val="3CCC4D74"/>
    <w:rsid w:val="3D857CA6"/>
    <w:rsid w:val="3F507DD6"/>
    <w:rsid w:val="3FD44611"/>
    <w:rsid w:val="3FFD2AA6"/>
    <w:rsid w:val="41650756"/>
    <w:rsid w:val="42935A4A"/>
    <w:rsid w:val="42F26B44"/>
    <w:rsid w:val="43E80D10"/>
    <w:rsid w:val="43FA1114"/>
    <w:rsid w:val="451A1A98"/>
    <w:rsid w:val="453B6FB5"/>
    <w:rsid w:val="45D72431"/>
    <w:rsid w:val="46B0716A"/>
    <w:rsid w:val="4965373F"/>
    <w:rsid w:val="498F0441"/>
    <w:rsid w:val="49CF03F2"/>
    <w:rsid w:val="4B0C143C"/>
    <w:rsid w:val="4C5C6157"/>
    <w:rsid w:val="4C941CC6"/>
    <w:rsid w:val="4C9778D3"/>
    <w:rsid w:val="4CAF166D"/>
    <w:rsid w:val="4DE61FBD"/>
    <w:rsid w:val="4ED3413C"/>
    <w:rsid w:val="4F2716B1"/>
    <w:rsid w:val="4F607254"/>
    <w:rsid w:val="4F69313D"/>
    <w:rsid w:val="5027503C"/>
    <w:rsid w:val="504F6430"/>
    <w:rsid w:val="50761E7A"/>
    <w:rsid w:val="510C0879"/>
    <w:rsid w:val="51D36305"/>
    <w:rsid w:val="53472764"/>
    <w:rsid w:val="54975334"/>
    <w:rsid w:val="566C1DC9"/>
    <w:rsid w:val="5676340E"/>
    <w:rsid w:val="56777B58"/>
    <w:rsid w:val="56896B61"/>
    <w:rsid w:val="589F481B"/>
    <w:rsid w:val="59796A2C"/>
    <w:rsid w:val="5A2E68A2"/>
    <w:rsid w:val="5C116A83"/>
    <w:rsid w:val="5C371975"/>
    <w:rsid w:val="5C71038F"/>
    <w:rsid w:val="5C8313A9"/>
    <w:rsid w:val="5D9E282E"/>
    <w:rsid w:val="5DB10A52"/>
    <w:rsid w:val="5E523EA1"/>
    <w:rsid w:val="5FAB1C81"/>
    <w:rsid w:val="5FCB6733"/>
    <w:rsid w:val="5FD0145B"/>
    <w:rsid w:val="5FE70F2A"/>
    <w:rsid w:val="60AB4B23"/>
    <w:rsid w:val="61057642"/>
    <w:rsid w:val="614B2DF1"/>
    <w:rsid w:val="61B0684B"/>
    <w:rsid w:val="627754DB"/>
    <w:rsid w:val="62D72C1F"/>
    <w:rsid w:val="634D3BD3"/>
    <w:rsid w:val="64661169"/>
    <w:rsid w:val="661275CF"/>
    <w:rsid w:val="67306CBE"/>
    <w:rsid w:val="674940FF"/>
    <w:rsid w:val="677A0180"/>
    <w:rsid w:val="6853397F"/>
    <w:rsid w:val="691232F8"/>
    <w:rsid w:val="69912070"/>
    <w:rsid w:val="6A205E8B"/>
    <w:rsid w:val="6B671FD7"/>
    <w:rsid w:val="6C892A9E"/>
    <w:rsid w:val="6E5974AE"/>
    <w:rsid w:val="6E664149"/>
    <w:rsid w:val="6FD822F9"/>
    <w:rsid w:val="6FF56D83"/>
    <w:rsid w:val="70C0097F"/>
    <w:rsid w:val="71A57EB5"/>
    <w:rsid w:val="72784DFC"/>
    <w:rsid w:val="72E0674B"/>
    <w:rsid w:val="745F7B5E"/>
    <w:rsid w:val="746D05CC"/>
    <w:rsid w:val="7482541C"/>
    <w:rsid w:val="74DA3D8F"/>
    <w:rsid w:val="751F7C29"/>
    <w:rsid w:val="754A12D8"/>
    <w:rsid w:val="764F37D5"/>
    <w:rsid w:val="771162B3"/>
    <w:rsid w:val="79C1605A"/>
    <w:rsid w:val="79C7796F"/>
    <w:rsid w:val="7A684727"/>
    <w:rsid w:val="7B952876"/>
    <w:rsid w:val="7CC8366D"/>
    <w:rsid w:val="7D6953BC"/>
    <w:rsid w:val="7E241F31"/>
    <w:rsid w:val="7E363A84"/>
    <w:rsid w:val="7E57009D"/>
    <w:rsid w:val="7E986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3"/>
    <w:qFormat/>
    <w:uiPriority w:val="0"/>
    <w:pPr>
      <w:keepNext/>
      <w:jc w:val="center"/>
      <w:outlineLvl w:val="0"/>
    </w:pPr>
    <w:rPr>
      <w:sz w:val="28"/>
      <w:szCs w:val="20"/>
    </w:rPr>
  </w:style>
  <w:style w:type="paragraph" w:styleId="4">
    <w:name w:val="heading 2"/>
    <w:basedOn w:val="1"/>
    <w:next w:val="5"/>
    <w:link w:val="64"/>
    <w:qFormat/>
    <w:uiPriority w:val="0"/>
    <w:pPr>
      <w:keepNext/>
      <w:keepLines/>
      <w:spacing w:before="260" w:after="260" w:line="416" w:lineRule="auto"/>
      <w:outlineLvl w:val="1"/>
    </w:pPr>
    <w:rPr>
      <w:rFonts w:ascii="Arial" w:hAnsi="Arial" w:eastAsia="黑体"/>
      <w:b/>
      <w:sz w:val="32"/>
      <w:szCs w:val="20"/>
    </w:rPr>
  </w:style>
  <w:style w:type="paragraph" w:styleId="6">
    <w:name w:val="heading 3"/>
    <w:basedOn w:val="1"/>
    <w:next w:val="1"/>
    <w:link w:val="63"/>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225"/>
    <w:qFormat/>
    <w:uiPriority w:val="0"/>
    <w:pPr>
      <w:keepNext/>
      <w:keepLines/>
      <w:widowControl/>
      <w:tabs>
        <w:tab w:val="left" w:pos="377"/>
        <w:tab w:val="left" w:pos="1247"/>
      </w:tabs>
      <w:spacing w:before="100" w:beforeAutospacing="1" w:after="290" w:line="377" w:lineRule="auto"/>
      <w:ind w:left="1077" w:hanging="1020"/>
      <w:outlineLvl w:val="4"/>
    </w:pPr>
    <w:rPr>
      <w:rFonts w:eastAsia="黑体"/>
      <w:bCs/>
      <w:kern w:val="0"/>
      <w:sz w:val="28"/>
      <w:szCs w:val="28"/>
    </w:rPr>
  </w:style>
  <w:style w:type="paragraph" w:styleId="9">
    <w:name w:val="heading 6"/>
    <w:basedOn w:val="1"/>
    <w:next w:val="1"/>
    <w:link w:val="226"/>
    <w:qFormat/>
    <w:uiPriority w:val="0"/>
    <w:pPr>
      <w:keepNext/>
      <w:keepLines/>
      <w:widowControl/>
      <w:tabs>
        <w:tab w:val="left" w:pos="377"/>
        <w:tab w:val="left" w:pos="737"/>
      </w:tabs>
      <w:spacing w:before="240" w:after="64" w:line="319" w:lineRule="auto"/>
      <w:ind w:left="737" w:hanging="510"/>
      <w:outlineLvl w:val="5"/>
    </w:pPr>
    <w:rPr>
      <w:rFonts w:eastAsia="黑体"/>
      <w:bCs/>
      <w:kern w:val="0"/>
      <w:sz w:val="28"/>
      <w:szCs w:val="28"/>
    </w:rPr>
  </w:style>
  <w:style w:type="paragraph" w:styleId="10">
    <w:name w:val="heading 7"/>
    <w:basedOn w:val="1"/>
    <w:next w:val="1"/>
    <w:qFormat/>
    <w:uiPriority w:val="0"/>
    <w:pPr>
      <w:keepNext/>
      <w:keepLines/>
      <w:spacing w:before="240" w:after="64" w:line="320" w:lineRule="auto"/>
      <w:outlineLvl w:val="6"/>
    </w:pPr>
    <w:rPr>
      <w:b/>
      <w:bCs/>
      <w:sz w:val="24"/>
    </w:rPr>
  </w:style>
  <w:style w:type="paragraph" w:styleId="11">
    <w:name w:val="heading 8"/>
    <w:basedOn w:val="1"/>
    <w:next w:val="1"/>
    <w:link w:val="227"/>
    <w:qFormat/>
    <w:uiPriority w:val="0"/>
    <w:pPr>
      <w:keepNext/>
      <w:keepLines/>
      <w:widowControl/>
      <w:tabs>
        <w:tab w:val="left" w:pos="377"/>
        <w:tab w:val="left" w:pos="737"/>
      </w:tabs>
      <w:spacing w:before="240" w:after="64" w:line="319" w:lineRule="auto"/>
      <w:ind w:left="737" w:hanging="510"/>
      <w:outlineLvl w:val="7"/>
    </w:pPr>
    <w:rPr>
      <w:rFonts w:eastAsia="黑体"/>
      <w:kern w:val="0"/>
      <w:sz w:val="28"/>
      <w:szCs w:val="28"/>
    </w:rPr>
  </w:style>
  <w:style w:type="paragraph" w:styleId="12">
    <w:name w:val="heading 9"/>
    <w:basedOn w:val="1"/>
    <w:next w:val="1"/>
    <w:link w:val="228"/>
    <w:qFormat/>
    <w:uiPriority w:val="0"/>
    <w:pPr>
      <w:keepNext/>
      <w:keepLines/>
      <w:tabs>
        <w:tab w:val="left" w:pos="1584"/>
      </w:tabs>
      <w:snapToGrid w:val="0"/>
      <w:spacing w:before="240" w:after="64" w:line="360" w:lineRule="auto"/>
      <w:ind w:left="1584" w:hanging="1584"/>
      <w:outlineLvl w:val="8"/>
    </w:pPr>
    <w:rPr>
      <w:sz w:val="24"/>
      <w:szCs w:val="28"/>
    </w:rPr>
  </w:style>
  <w:style w:type="character" w:default="1" w:styleId="54">
    <w:name w:val="Default Paragraph Font"/>
    <w:semiHidden/>
    <w:unhideWhenUsed/>
    <w:qFormat/>
    <w:uiPriority w:val="1"/>
  </w:style>
  <w:style w:type="table" w:default="1" w:styleId="5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正文样式"/>
    <w:basedOn w:val="1"/>
    <w:qFormat/>
    <w:uiPriority w:val="0"/>
    <w:pPr>
      <w:adjustRightInd w:val="0"/>
      <w:snapToGrid w:val="0"/>
      <w:spacing w:line="520" w:lineRule="exact"/>
      <w:ind w:firstLine="562"/>
    </w:pPr>
    <w:rPr>
      <w:rFonts w:ascii="Calibri" w:hAnsi="Calibri"/>
      <w:sz w:val="28"/>
      <w:szCs w:val="28"/>
    </w:rPr>
  </w:style>
  <w:style w:type="paragraph" w:styleId="5">
    <w:name w:val="Normal Indent"/>
    <w:basedOn w:val="1"/>
    <w:link w:val="224"/>
    <w:qFormat/>
    <w:uiPriority w:val="0"/>
    <w:pPr>
      <w:ind w:firstLine="420" w:firstLineChars="200"/>
    </w:pPr>
  </w:style>
  <w:style w:type="paragraph" w:styleId="13">
    <w:name w:val="toc 7"/>
    <w:basedOn w:val="1"/>
    <w:next w:val="1"/>
    <w:qFormat/>
    <w:uiPriority w:val="0"/>
    <w:pPr>
      <w:ind w:left="2520" w:leftChars="1200"/>
    </w:pPr>
    <w:rPr>
      <w:rFonts w:ascii="宋体"/>
    </w:rPr>
  </w:style>
  <w:style w:type="paragraph" w:styleId="14">
    <w:name w:val="Note Heading"/>
    <w:basedOn w:val="1"/>
    <w:next w:val="1"/>
    <w:link w:val="240"/>
    <w:qFormat/>
    <w:uiPriority w:val="0"/>
    <w:pPr>
      <w:jc w:val="center"/>
    </w:pPr>
    <w:rPr>
      <w:rFonts w:ascii="宋体"/>
      <w:szCs w:val="21"/>
    </w:rPr>
  </w:style>
  <w:style w:type="paragraph" w:styleId="15">
    <w:name w:val="index 8"/>
    <w:basedOn w:val="1"/>
    <w:next w:val="1"/>
    <w:qFormat/>
    <w:uiPriority w:val="0"/>
    <w:pPr>
      <w:ind w:left="1400" w:leftChars="1400"/>
    </w:pPr>
    <w:rPr>
      <w:szCs w:val="20"/>
    </w:rPr>
  </w:style>
  <w:style w:type="paragraph" w:styleId="16">
    <w:name w:val="index 5"/>
    <w:basedOn w:val="1"/>
    <w:next w:val="1"/>
    <w:qFormat/>
    <w:uiPriority w:val="0"/>
    <w:pPr>
      <w:ind w:left="800" w:leftChars="800"/>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245"/>
    <w:qFormat/>
    <w:uiPriority w:val="0"/>
    <w:pPr>
      <w:widowControl/>
      <w:tabs>
        <w:tab w:val="left" w:pos="377"/>
      </w:tabs>
      <w:spacing w:line="360" w:lineRule="auto"/>
      <w:jc w:val="left"/>
    </w:pPr>
    <w:rPr>
      <w:rFonts w:ascii="宋体"/>
      <w:kern w:val="0"/>
      <w:sz w:val="24"/>
    </w:rPr>
  </w:style>
  <w:style w:type="paragraph" w:styleId="19">
    <w:name w:val="index 6"/>
    <w:basedOn w:val="1"/>
    <w:next w:val="1"/>
    <w:qFormat/>
    <w:uiPriority w:val="0"/>
    <w:pPr>
      <w:ind w:left="1000" w:leftChars="1000"/>
    </w:pPr>
    <w:rPr>
      <w:szCs w:val="20"/>
    </w:rPr>
  </w:style>
  <w:style w:type="paragraph" w:styleId="20">
    <w:name w:val="Salutation"/>
    <w:basedOn w:val="1"/>
    <w:next w:val="1"/>
    <w:qFormat/>
    <w:uiPriority w:val="0"/>
    <w:rPr>
      <w:sz w:val="24"/>
      <w:szCs w:val="20"/>
    </w:rPr>
  </w:style>
  <w:style w:type="paragraph" w:styleId="21">
    <w:name w:val="Body Text 3"/>
    <w:basedOn w:val="1"/>
    <w:qFormat/>
    <w:uiPriority w:val="0"/>
    <w:pPr>
      <w:spacing w:line="360" w:lineRule="auto"/>
    </w:pPr>
    <w:rPr>
      <w:sz w:val="24"/>
    </w:rPr>
  </w:style>
  <w:style w:type="paragraph" w:styleId="22">
    <w:name w:val="Body Text"/>
    <w:basedOn w:val="1"/>
    <w:link w:val="232"/>
    <w:qFormat/>
    <w:uiPriority w:val="0"/>
    <w:pPr>
      <w:spacing w:after="120"/>
    </w:pPr>
  </w:style>
  <w:style w:type="paragraph" w:styleId="23">
    <w:name w:val="Body Text Indent"/>
    <w:basedOn w:val="1"/>
    <w:next w:val="24"/>
    <w:qFormat/>
    <w:uiPriority w:val="0"/>
    <w:pPr>
      <w:ind w:firstLine="538" w:firstLineChars="192"/>
    </w:pPr>
    <w:rPr>
      <w:rFonts w:ascii="宋体" w:hAnsi="宋体"/>
      <w:color w:val="FF0000"/>
      <w:sz w:val="28"/>
      <w:szCs w:val="28"/>
    </w:rPr>
  </w:style>
  <w:style w:type="paragraph" w:styleId="24">
    <w:name w:val="Body Text First Indent"/>
    <w:basedOn w:val="22"/>
    <w:next w:val="1"/>
    <w:qFormat/>
    <w:uiPriority w:val="0"/>
    <w:pPr>
      <w:spacing w:line="440" w:lineRule="atLeast"/>
      <w:ind w:firstLine="493"/>
    </w:pPr>
    <w:rPr>
      <w:spacing w:val="6"/>
      <w:w w:val="92"/>
      <w:kern w:val="24"/>
      <w:sz w:val="26"/>
      <w:szCs w:val="20"/>
    </w:rPr>
  </w:style>
  <w:style w:type="paragraph" w:styleId="25">
    <w:name w:val="Block Text"/>
    <w:basedOn w:val="1"/>
    <w:qFormat/>
    <w:uiPriority w:val="0"/>
    <w:pPr>
      <w:adjustRightInd w:val="0"/>
      <w:spacing w:line="360" w:lineRule="auto"/>
      <w:ind w:left="57" w:right="57" w:firstLine="539"/>
      <w:textAlignment w:val="baseline"/>
    </w:pPr>
    <w:rPr>
      <w:spacing w:val="20"/>
      <w:kern w:val="0"/>
      <w:sz w:val="24"/>
      <w:szCs w:val="20"/>
    </w:rPr>
  </w:style>
  <w:style w:type="paragraph" w:styleId="26">
    <w:name w:val="index 4"/>
    <w:basedOn w:val="1"/>
    <w:next w:val="1"/>
    <w:qFormat/>
    <w:uiPriority w:val="0"/>
    <w:pPr>
      <w:ind w:left="600" w:leftChars="600"/>
    </w:pPr>
    <w:rPr>
      <w:szCs w:val="20"/>
    </w:rPr>
  </w:style>
  <w:style w:type="paragraph" w:styleId="27">
    <w:name w:val="toc 5"/>
    <w:basedOn w:val="1"/>
    <w:next w:val="1"/>
    <w:qFormat/>
    <w:uiPriority w:val="0"/>
    <w:pPr>
      <w:ind w:left="840"/>
      <w:jc w:val="left"/>
    </w:pPr>
    <w:rPr>
      <w:sz w:val="18"/>
      <w:szCs w:val="18"/>
    </w:rPr>
  </w:style>
  <w:style w:type="paragraph" w:styleId="28">
    <w:name w:val="toc 3"/>
    <w:basedOn w:val="1"/>
    <w:next w:val="1"/>
    <w:qFormat/>
    <w:uiPriority w:val="39"/>
    <w:pPr>
      <w:ind w:left="840" w:leftChars="400"/>
    </w:pPr>
  </w:style>
  <w:style w:type="paragraph" w:styleId="29">
    <w:name w:val="Plain Text"/>
    <w:basedOn w:val="1"/>
    <w:link w:val="231"/>
    <w:qFormat/>
    <w:uiPriority w:val="0"/>
    <w:rPr>
      <w:rFonts w:ascii="宋体" w:hAnsi="Courier New"/>
      <w:szCs w:val="20"/>
    </w:rPr>
  </w:style>
  <w:style w:type="paragraph" w:styleId="30">
    <w:name w:val="toc 8"/>
    <w:basedOn w:val="1"/>
    <w:next w:val="1"/>
    <w:qFormat/>
    <w:uiPriority w:val="0"/>
    <w:pPr>
      <w:ind w:left="1470"/>
      <w:jc w:val="left"/>
    </w:pPr>
    <w:rPr>
      <w:sz w:val="18"/>
      <w:szCs w:val="18"/>
    </w:rPr>
  </w:style>
  <w:style w:type="paragraph" w:styleId="31">
    <w:name w:val="index 3"/>
    <w:basedOn w:val="1"/>
    <w:next w:val="1"/>
    <w:qFormat/>
    <w:uiPriority w:val="0"/>
    <w:pPr>
      <w:ind w:left="400" w:leftChars="400"/>
    </w:pPr>
    <w:rPr>
      <w:szCs w:val="20"/>
    </w:rPr>
  </w:style>
  <w:style w:type="paragraph" w:styleId="32">
    <w:name w:val="Date"/>
    <w:basedOn w:val="1"/>
    <w:next w:val="1"/>
    <w:qFormat/>
    <w:uiPriority w:val="0"/>
    <w:pPr>
      <w:adjustRightInd w:val="0"/>
      <w:spacing w:line="360" w:lineRule="auto"/>
      <w:textAlignment w:val="baseline"/>
    </w:pPr>
    <w:rPr>
      <w:rFonts w:ascii="宋体"/>
      <w:spacing w:val="10"/>
      <w:kern w:val="0"/>
      <w:sz w:val="28"/>
      <w:szCs w:val="20"/>
    </w:rPr>
  </w:style>
  <w:style w:type="paragraph" w:styleId="33">
    <w:name w:val="Body Text Indent 2"/>
    <w:basedOn w:val="1"/>
    <w:qFormat/>
    <w:uiPriority w:val="0"/>
    <w:pPr>
      <w:spacing w:after="120" w:line="480" w:lineRule="auto"/>
      <w:ind w:left="420" w:leftChars="200"/>
    </w:pPr>
  </w:style>
  <w:style w:type="paragraph" w:styleId="34">
    <w:name w:val="Balloon Text"/>
    <w:basedOn w:val="1"/>
    <w:link w:val="237"/>
    <w:qFormat/>
    <w:uiPriority w:val="0"/>
    <w:rPr>
      <w:sz w:val="18"/>
      <w:szCs w:val="18"/>
    </w:rPr>
  </w:style>
  <w:style w:type="paragraph" w:styleId="35">
    <w:name w:val="footer"/>
    <w:basedOn w:val="1"/>
    <w:link w:val="230"/>
    <w:qFormat/>
    <w:uiPriority w:val="0"/>
    <w:pPr>
      <w:tabs>
        <w:tab w:val="center" w:pos="4153"/>
        <w:tab w:val="right" w:pos="8306"/>
      </w:tabs>
      <w:snapToGrid w:val="0"/>
      <w:jc w:val="left"/>
    </w:pPr>
    <w:rPr>
      <w:sz w:val="18"/>
      <w:szCs w:val="18"/>
    </w:rPr>
  </w:style>
  <w:style w:type="paragraph" w:styleId="36">
    <w:name w:val="header"/>
    <w:basedOn w:val="1"/>
    <w:link w:val="229"/>
    <w:qFormat/>
    <w:uiPriority w:val="0"/>
    <w:pPr>
      <w:pBdr>
        <w:bottom w:val="single" w:color="auto" w:sz="6" w:space="1"/>
      </w:pBdr>
      <w:tabs>
        <w:tab w:val="center" w:pos="4153"/>
        <w:tab w:val="right" w:pos="8306"/>
      </w:tabs>
      <w:snapToGrid w:val="0"/>
      <w:jc w:val="center"/>
    </w:pPr>
    <w:rPr>
      <w:sz w:val="18"/>
      <w:szCs w:val="18"/>
    </w:rPr>
  </w:style>
  <w:style w:type="paragraph" w:styleId="37">
    <w:name w:val="toc 1"/>
    <w:basedOn w:val="1"/>
    <w:next w:val="1"/>
    <w:qFormat/>
    <w:uiPriority w:val="39"/>
    <w:pPr>
      <w:tabs>
        <w:tab w:val="right" w:leader="dot" w:pos="8302"/>
      </w:tabs>
      <w:adjustRightInd w:val="0"/>
      <w:snapToGrid w:val="0"/>
    </w:pPr>
    <w:rPr>
      <w:sz w:val="28"/>
    </w:rPr>
  </w:style>
  <w:style w:type="paragraph" w:styleId="38">
    <w:name w:val="toc 4"/>
    <w:basedOn w:val="1"/>
    <w:next w:val="1"/>
    <w:qFormat/>
    <w:uiPriority w:val="0"/>
    <w:pPr>
      <w:ind w:left="630"/>
      <w:jc w:val="left"/>
    </w:pPr>
    <w:rPr>
      <w:sz w:val="18"/>
      <w:szCs w:val="18"/>
    </w:rPr>
  </w:style>
  <w:style w:type="paragraph" w:styleId="39">
    <w:name w:val="toc 6"/>
    <w:basedOn w:val="1"/>
    <w:next w:val="1"/>
    <w:qFormat/>
    <w:uiPriority w:val="0"/>
    <w:pPr>
      <w:ind w:left="2100" w:leftChars="1000"/>
    </w:pPr>
    <w:rPr>
      <w:rFonts w:ascii="宋体"/>
    </w:rPr>
  </w:style>
  <w:style w:type="paragraph" w:styleId="40">
    <w:name w:val="Body Text Indent 3"/>
    <w:basedOn w:val="1"/>
    <w:qFormat/>
    <w:uiPriority w:val="0"/>
    <w:pPr>
      <w:spacing w:after="120"/>
      <w:ind w:left="420" w:leftChars="200"/>
    </w:pPr>
    <w:rPr>
      <w:sz w:val="16"/>
      <w:szCs w:val="16"/>
    </w:rPr>
  </w:style>
  <w:style w:type="paragraph" w:styleId="41">
    <w:name w:val="index 7"/>
    <w:basedOn w:val="1"/>
    <w:next w:val="1"/>
    <w:qFormat/>
    <w:uiPriority w:val="0"/>
    <w:pPr>
      <w:ind w:left="1200" w:leftChars="1200"/>
    </w:pPr>
    <w:rPr>
      <w:szCs w:val="20"/>
    </w:rPr>
  </w:style>
  <w:style w:type="paragraph" w:styleId="42">
    <w:name w:val="index 9"/>
    <w:basedOn w:val="1"/>
    <w:next w:val="1"/>
    <w:qFormat/>
    <w:uiPriority w:val="0"/>
    <w:pPr>
      <w:ind w:left="1600" w:leftChars="1600"/>
    </w:pPr>
    <w:rPr>
      <w:szCs w:val="20"/>
    </w:rPr>
  </w:style>
  <w:style w:type="paragraph" w:styleId="43">
    <w:name w:val="toc 2"/>
    <w:basedOn w:val="1"/>
    <w:next w:val="1"/>
    <w:qFormat/>
    <w:uiPriority w:val="39"/>
    <w:pPr>
      <w:tabs>
        <w:tab w:val="right" w:leader="dot" w:pos="8296"/>
      </w:tabs>
      <w:adjustRightInd w:val="0"/>
      <w:snapToGrid w:val="0"/>
      <w:spacing w:line="300" w:lineRule="auto"/>
      <w:ind w:left="200" w:leftChars="200"/>
    </w:pPr>
    <w:rPr>
      <w:bCs/>
      <w:sz w:val="24"/>
      <w:szCs w:val="28"/>
    </w:rPr>
  </w:style>
  <w:style w:type="paragraph" w:styleId="44">
    <w:name w:val="toc 9"/>
    <w:basedOn w:val="1"/>
    <w:next w:val="1"/>
    <w:qFormat/>
    <w:uiPriority w:val="0"/>
    <w:pPr>
      <w:ind w:left="1680"/>
      <w:jc w:val="left"/>
    </w:pPr>
    <w:rPr>
      <w:sz w:val="18"/>
      <w:szCs w:val="18"/>
    </w:rPr>
  </w:style>
  <w:style w:type="paragraph" w:styleId="45">
    <w:name w:val="Body Text 2"/>
    <w:basedOn w:val="1"/>
    <w:qFormat/>
    <w:uiPriority w:val="0"/>
    <w:rPr>
      <w:rFonts w:ascii="宋体" w:hAnsi="宋体"/>
      <w:sz w:val="24"/>
      <w:szCs w:val="21"/>
    </w:rPr>
  </w:style>
  <w:style w:type="paragraph" w:styleId="4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semiHidden/>
    <w:qFormat/>
    <w:uiPriority w:val="0"/>
    <w:pPr>
      <w:spacing w:line="360" w:lineRule="exact"/>
    </w:pPr>
    <w:rPr>
      <w:szCs w:val="20"/>
    </w:rPr>
  </w:style>
  <w:style w:type="paragraph" w:styleId="48">
    <w:name w:val="index 2"/>
    <w:basedOn w:val="1"/>
    <w:next w:val="1"/>
    <w:qFormat/>
    <w:uiPriority w:val="0"/>
    <w:pPr>
      <w:ind w:left="200" w:leftChars="200"/>
    </w:pPr>
    <w:rPr>
      <w:szCs w:val="20"/>
    </w:rPr>
  </w:style>
  <w:style w:type="paragraph" w:styleId="49">
    <w:name w:val="Title"/>
    <w:basedOn w:val="1"/>
    <w:qFormat/>
    <w:uiPriority w:val="0"/>
    <w:pPr>
      <w:spacing w:line="360" w:lineRule="auto"/>
      <w:jc w:val="center"/>
      <w:outlineLvl w:val="0"/>
    </w:pPr>
    <w:rPr>
      <w:rFonts w:ascii="宋体" w:hAnsi="Arial" w:cs="Arial"/>
      <w:b/>
      <w:bCs/>
      <w:sz w:val="32"/>
      <w:szCs w:val="18"/>
    </w:rPr>
  </w:style>
  <w:style w:type="paragraph" w:styleId="50">
    <w:name w:val="annotation subject"/>
    <w:basedOn w:val="18"/>
    <w:next w:val="18"/>
    <w:link w:val="246"/>
    <w:qFormat/>
    <w:uiPriority w:val="0"/>
    <w:rPr>
      <w:b/>
      <w:bCs/>
    </w:rPr>
  </w:style>
  <w:style w:type="paragraph" w:styleId="51">
    <w:name w:val="Body Text First Indent 2"/>
    <w:basedOn w:val="23"/>
    <w:next w:val="1"/>
    <w:qFormat/>
    <w:uiPriority w:val="0"/>
    <w:pPr>
      <w:widowControl w:val="0"/>
      <w:spacing w:after="120" w:line="240" w:lineRule="auto"/>
      <w:ind w:left="420" w:leftChars="200" w:firstLine="420" w:firstLineChars="200"/>
      <w:jc w:val="both"/>
    </w:pPr>
    <w:rPr>
      <w:kern w:val="2"/>
      <w:sz w:val="21"/>
      <w:szCs w:val="24"/>
    </w:rPr>
  </w:style>
  <w:style w:type="table" w:styleId="53">
    <w:name w:val="Table Grid"/>
    <w:basedOn w:val="5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bCs/>
    </w:rPr>
  </w:style>
  <w:style w:type="character" w:styleId="56">
    <w:name w:val="page number"/>
    <w:basedOn w:val="54"/>
    <w:qFormat/>
    <w:uiPriority w:val="0"/>
  </w:style>
  <w:style w:type="character" w:styleId="57">
    <w:name w:val="FollowedHyperlink"/>
    <w:qFormat/>
    <w:uiPriority w:val="99"/>
    <w:rPr>
      <w:color w:val="800080"/>
      <w:u w:val="single"/>
    </w:rPr>
  </w:style>
  <w:style w:type="character" w:styleId="58">
    <w:name w:val="Emphasis"/>
    <w:basedOn w:val="54"/>
    <w:qFormat/>
    <w:uiPriority w:val="0"/>
    <w:rPr>
      <w:i/>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paragraph" w:customStyle="1" w:styleId="61">
    <w:name w:val="Normal Indent1"/>
    <w:basedOn w:val="1"/>
    <w:qFormat/>
    <w:uiPriority w:val="0"/>
    <w:pPr>
      <w:ind w:firstLine="420" w:firstLineChars="200"/>
    </w:pPr>
  </w:style>
  <w:style w:type="paragraph" w:customStyle="1" w:styleId="62">
    <w:name w:val="li_正文"/>
    <w:basedOn w:val="1"/>
    <w:qFormat/>
    <w:uiPriority w:val="0"/>
    <w:pPr>
      <w:tabs>
        <w:tab w:val="left" w:pos="2574"/>
      </w:tabs>
      <w:overflowPunct w:val="0"/>
      <w:topLinePunct/>
      <w:ind w:firstLine="480" w:firstLineChars="200"/>
      <w:jc w:val="left"/>
    </w:pPr>
    <w:rPr>
      <w:kern w:val="2"/>
      <w:sz w:val="28"/>
      <w:szCs w:val="28"/>
    </w:rPr>
  </w:style>
  <w:style w:type="character" w:customStyle="1" w:styleId="63">
    <w:name w:val="标题 3 字符"/>
    <w:link w:val="6"/>
    <w:qFormat/>
    <w:uiPriority w:val="0"/>
    <w:rPr>
      <w:b/>
      <w:bCs/>
      <w:kern w:val="2"/>
      <w:sz w:val="32"/>
      <w:szCs w:val="32"/>
    </w:rPr>
  </w:style>
  <w:style w:type="character" w:customStyle="1" w:styleId="64">
    <w:name w:val="标题 2 字符"/>
    <w:link w:val="4"/>
    <w:qFormat/>
    <w:uiPriority w:val="0"/>
    <w:rPr>
      <w:rFonts w:ascii="Arial" w:hAnsi="Arial" w:eastAsia="黑体"/>
      <w:b/>
      <w:kern w:val="2"/>
      <w:sz w:val="32"/>
      <w:lang w:val="en-US" w:eastAsia="zh-CN" w:bidi="ar-SA"/>
    </w:rPr>
  </w:style>
  <w:style w:type="paragraph" w:customStyle="1" w:styleId="65">
    <w:name w:val="Char"/>
    <w:basedOn w:val="1"/>
    <w:link w:val="263"/>
    <w:qFormat/>
    <w:uiPriority w:val="0"/>
    <w:pPr>
      <w:spacing w:line="360" w:lineRule="auto"/>
    </w:pPr>
    <w:rPr>
      <w:sz w:val="24"/>
    </w:rPr>
  </w:style>
  <w:style w:type="paragraph" w:customStyle="1" w:styleId="66">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67">
    <w:name w:val="表格内"/>
    <w:basedOn w:val="1"/>
    <w:qFormat/>
    <w:uiPriority w:val="0"/>
    <w:pPr>
      <w:adjustRightInd w:val="0"/>
      <w:spacing w:line="240" w:lineRule="atLeast"/>
      <w:jc w:val="center"/>
      <w:textAlignment w:val="baseline"/>
    </w:pPr>
    <w:rPr>
      <w:rFonts w:ascii="宋体"/>
      <w:kern w:val="0"/>
      <w:sz w:val="28"/>
      <w:szCs w:val="20"/>
    </w:rPr>
  </w:style>
  <w:style w:type="paragraph" w:customStyle="1" w:styleId="68">
    <w:name w:val="样式1"/>
    <w:basedOn w:val="22"/>
    <w:qFormat/>
    <w:uiPriority w:val="0"/>
    <w:pPr>
      <w:tabs>
        <w:tab w:val="left" w:pos="567"/>
      </w:tabs>
      <w:spacing w:line="360" w:lineRule="auto"/>
      <w:jc w:val="center"/>
    </w:pPr>
    <w:rPr>
      <w:sz w:val="24"/>
      <w:szCs w:val="20"/>
    </w:rPr>
  </w:style>
  <w:style w:type="paragraph" w:customStyle="1" w:styleId="6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0">
    <w:name w:val="表格1"/>
    <w:basedOn w:val="1"/>
    <w:qFormat/>
    <w:uiPriority w:val="0"/>
    <w:pPr>
      <w:adjustRightInd w:val="0"/>
      <w:jc w:val="center"/>
      <w:textAlignment w:val="baseline"/>
    </w:pPr>
    <w:rPr>
      <w:rFonts w:ascii="宋体"/>
      <w:kern w:val="0"/>
      <w:sz w:val="24"/>
      <w:szCs w:val="20"/>
    </w:rPr>
  </w:style>
  <w:style w:type="paragraph" w:customStyle="1" w:styleId="71">
    <w:name w:val="表格2"/>
    <w:basedOn w:val="1"/>
    <w:qFormat/>
    <w:uiPriority w:val="0"/>
    <w:pPr>
      <w:adjustRightInd w:val="0"/>
      <w:jc w:val="center"/>
      <w:textAlignment w:val="baseline"/>
    </w:pPr>
    <w:rPr>
      <w:rFonts w:ascii="宋体"/>
      <w:kern w:val="0"/>
      <w:szCs w:val="20"/>
    </w:rPr>
  </w:style>
  <w:style w:type="paragraph" w:customStyle="1" w:styleId="72">
    <w:name w:val="xl23"/>
    <w:basedOn w:val="1"/>
    <w:qFormat/>
    <w:uiPriority w:val="0"/>
    <w:pPr>
      <w:widowControl/>
      <w:spacing w:before="100" w:after="100"/>
      <w:jc w:val="center"/>
    </w:pPr>
    <w:rPr>
      <w:rFonts w:ascii="宋体" w:hAnsi="宋体"/>
      <w:kern w:val="0"/>
      <w:sz w:val="24"/>
      <w:szCs w:val="20"/>
    </w:rPr>
  </w:style>
  <w:style w:type="paragraph" w:customStyle="1" w:styleId="73">
    <w:name w:val="表内文字"/>
    <w:basedOn w:val="1"/>
    <w:qFormat/>
    <w:uiPriority w:val="0"/>
    <w:pPr>
      <w:widowControl/>
      <w:adjustRightInd w:val="0"/>
      <w:snapToGrid w:val="0"/>
      <w:jc w:val="center"/>
    </w:pPr>
    <w:rPr>
      <w:kern w:val="0"/>
      <w:sz w:val="24"/>
      <w:szCs w:val="20"/>
    </w:rPr>
  </w:style>
  <w:style w:type="paragraph" w:customStyle="1" w:styleId="74">
    <w:name w:val="BIG BOLD"/>
    <w:basedOn w:val="1"/>
    <w:qFormat/>
    <w:uiPriority w:val="0"/>
    <w:pPr>
      <w:tabs>
        <w:tab w:val="left" w:leader="underscore" w:pos="1134"/>
      </w:tabs>
    </w:pPr>
    <w:rPr>
      <w:szCs w:val="20"/>
    </w:rPr>
  </w:style>
  <w:style w:type="paragraph" w:customStyle="1" w:styleId="75">
    <w:name w:val="表内5"/>
    <w:basedOn w:val="5"/>
    <w:link w:val="233"/>
    <w:qFormat/>
    <w:uiPriority w:val="0"/>
    <w:pPr>
      <w:adjustRightInd w:val="0"/>
      <w:snapToGrid w:val="0"/>
      <w:ind w:firstLine="0" w:firstLineChars="0"/>
      <w:jc w:val="center"/>
    </w:pPr>
    <w:rPr>
      <w:rFonts w:ascii="宋体" w:hAnsi="宋体"/>
      <w:kern w:val="0"/>
      <w:szCs w:val="21"/>
    </w:rPr>
  </w:style>
  <w:style w:type="paragraph" w:customStyle="1" w:styleId="76">
    <w:name w:val="燕山正文"/>
    <w:basedOn w:val="1"/>
    <w:link w:val="234"/>
    <w:qFormat/>
    <w:uiPriority w:val="0"/>
    <w:pPr>
      <w:tabs>
        <w:tab w:val="left" w:pos="4680"/>
      </w:tabs>
      <w:adjustRightInd w:val="0"/>
      <w:snapToGrid w:val="0"/>
      <w:spacing w:line="360" w:lineRule="auto"/>
      <w:ind w:firstLine="560" w:firstLineChars="200"/>
    </w:pPr>
    <w:rPr>
      <w:rFonts w:ascii="宋体" w:hAnsi="宋体"/>
      <w:color w:val="000000"/>
      <w:sz w:val="28"/>
      <w:szCs w:val="28"/>
    </w:rPr>
  </w:style>
  <w:style w:type="paragraph" w:customStyle="1" w:styleId="77">
    <w:name w:val="安评节"/>
    <w:basedOn w:val="4"/>
    <w:qFormat/>
    <w:uiPriority w:val="0"/>
    <w:pPr>
      <w:tabs>
        <w:tab w:val="left" w:pos="567"/>
      </w:tabs>
      <w:overflowPunct w:val="0"/>
      <w:autoSpaceDE w:val="0"/>
      <w:autoSpaceDN w:val="0"/>
      <w:adjustRightInd w:val="0"/>
      <w:spacing w:before="120" w:after="120" w:line="360" w:lineRule="auto"/>
      <w:ind w:firstLine="200" w:firstLineChars="200"/>
      <w:jc w:val="center"/>
      <w:textAlignment w:val="baseline"/>
    </w:pPr>
    <w:rPr>
      <w:rFonts w:ascii="黑体" w:hAnsi="宋体" w:eastAsia="楷体_GB2312"/>
      <w:kern w:val="16"/>
      <w:szCs w:val="32"/>
    </w:rPr>
  </w:style>
  <w:style w:type="paragraph" w:customStyle="1" w:styleId="78">
    <w:name w:val="安评章"/>
    <w:basedOn w:val="3"/>
    <w:qFormat/>
    <w:uiPriority w:val="0"/>
    <w:pPr>
      <w:keepLines/>
      <w:tabs>
        <w:tab w:val="left" w:pos="567"/>
      </w:tabs>
      <w:overflowPunct w:val="0"/>
      <w:autoSpaceDE w:val="0"/>
      <w:autoSpaceDN w:val="0"/>
      <w:adjustRightInd w:val="0"/>
      <w:spacing w:before="100" w:after="100" w:line="360" w:lineRule="auto"/>
      <w:ind w:firstLine="562" w:firstLineChars="200"/>
      <w:textAlignment w:val="baseline"/>
    </w:pPr>
    <w:rPr>
      <w:rFonts w:ascii="宋体" w:hAnsi="宋体" w:eastAsia="黑体"/>
      <w:b/>
      <w:spacing w:val="20"/>
      <w:kern w:val="16"/>
      <w:sz w:val="32"/>
    </w:rPr>
  </w:style>
  <w:style w:type="paragraph" w:customStyle="1" w:styleId="79">
    <w:name w:val="节下项目标题"/>
    <w:basedOn w:val="1"/>
    <w:next w:val="1"/>
    <w:link w:val="235"/>
    <w:qFormat/>
    <w:uiPriority w:val="0"/>
    <w:pPr>
      <w:spacing w:line="360" w:lineRule="auto"/>
      <w:ind w:firstLine="200" w:firstLineChars="200"/>
      <w:jc w:val="left"/>
    </w:pPr>
    <w:rPr>
      <w:rFonts w:ascii="宋体" w:hAnsi="宋体" w:eastAsia="黑体"/>
      <w:b/>
      <w:sz w:val="28"/>
    </w:rPr>
  </w:style>
  <w:style w:type="paragraph" w:customStyle="1" w:styleId="80">
    <w:name w:val="表内序号"/>
    <w:basedOn w:val="1"/>
    <w:qFormat/>
    <w:uiPriority w:val="0"/>
    <w:pPr>
      <w:adjustRightInd w:val="0"/>
      <w:snapToGrid w:val="0"/>
      <w:spacing w:before="20" w:after="20"/>
      <w:jc w:val="center"/>
    </w:pPr>
    <w:rPr>
      <w:szCs w:val="20"/>
    </w:rPr>
  </w:style>
  <w:style w:type="paragraph" w:customStyle="1" w:styleId="81">
    <w:name w:val="表格标题"/>
    <w:basedOn w:val="1"/>
    <w:link w:val="236"/>
    <w:qFormat/>
    <w:uiPriority w:val="0"/>
    <w:pPr>
      <w:spacing w:line="360" w:lineRule="auto"/>
      <w:ind w:firstLine="200" w:firstLineChars="200"/>
      <w:jc w:val="center"/>
    </w:pPr>
    <w:rPr>
      <w:rFonts w:ascii="宋体" w:hAnsi="宋体"/>
      <w:spacing w:val="20"/>
      <w:sz w:val="24"/>
      <w:szCs w:val="20"/>
    </w:rPr>
  </w:style>
  <w:style w:type="paragraph" w:customStyle="1" w:styleId="82">
    <w:name w:val="标题1"/>
    <w:basedOn w:val="3"/>
    <w:qFormat/>
    <w:uiPriority w:val="0"/>
    <w:pPr>
      <w:keepLines/>
      <w:snapToGrid w:val="0"/>
      <w:spacing w:before="50" w:beforeLines="50" w:after="50" w:afterLines="50" w:line="360" w:lineRule="auto"/>
      <w:jc w:val="left"/>
    </w:pPr>
    <w:rPr>
      <w:rFonts w:eastAsia="黑体" w:cs="宋体"/>
      <w:b/>
      <w:kern w:val="44"/>
      <w:sz w:val="32"/>
    </w:rPr>
  </w:style>
  <w:style w:type="paragraph" w:customStyle="1" w:styleId="8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4">
    <w:name w:val="1"/>
    <w:basedOn w:val="1"/>
    <w:next w:val="29"/>
    <w:qFormat/>
    <w:uiPriority w:val="0"/>
    <w:rPr>
      <w:rFonts w:ascii="宋体" w:hAnsi="Courier New"/>
      <w:szCs w:val="21"/>
    </w:rPr>
  </w:style>
  <w:style w:type="paragraph" w:customStyle="1" w:styleId="85">
    <w:name w:val="样式 样式 首行缩进:  0.99 厘米 行距: 最小值 23 磅 + 行距: 最小值 24 磅"/>
    <w:basedOn w:val="1"/>
    <w:qFormat/>
    <w:uiPriority w:val="0"/>
    <w:pPr>
      <w:snapToGrid w:val="0"/>
      <w:spacing w:line="520" w:lineRule="atLeast"/>
      <w:ind w:firstLine="680"/>
    </w:pPr>
    <w:rPr>
      <w:spacing w:val="12"/>
      <w:kern w:val="24"/>
      <w:sz w:val="28"/>
      <w:szCs w:val="28"/>
    </w:rPr>
  </w:style>
  <w:style w:type="paragraph" w:customStyle="1" w:styleId="86">
    <w:name w:val="xl32"/>
    <w:basedOn w:val="1"/>
    <w:qFormat/>
    <w:uiPriority w:val="0"/>
    <w:pPr>
      <w:widowControl/>
      <w:pBdr>
        <w:left w:val="single" w:color="auto" w:sz="4" w:space="0"/>
      </w:pBdr>
      <w:tabs>
        <w:tab w:val="left" w:pos="720"/>
      </w:tabs>
      <w:adjustRightInd w:val="0"/>
      <w:snapToGrid w:val="0"/>
      <w:spacing w:before="100" w:after="100" w:line="360" w:lineRule="atLeast"/>
      <w:jc w:val="center"/>
      <w:textAlignment w:val="center"/>
    </w:pPr>
    <w:rPr>
      <w:rFonts w:ascii="Arial" w:hAnsi="Arial" w:eastAsia="Arial Unicode MS"/>
      <w:kern w:val="0"/>
      <w:sz w:val="24"/>
      <w:szCs w:val="20"/>
    </w:rPr>
  </w:style>
  <w:style w:type="paragraph" w:customStyle="1" w:styleId="87">
    <w:name w:val="表格"/>
    <w:basedOn w:val="1"/>
    <w:qFormat/>
    <w:uiPriority w:val="0"/>
    <w:pPr>
      <w:widowControl/>
      <w:jc w:val="center"/>
    </w:pPr>
    <w:rPr>
      <w:rFonts w:ascii="宋体" w:hAnsi="宋体"/>
      <w:snapToGrid w:val="0"/>
      <w:kern w:val="0"/>
      <w:sz w:val="24"/>
      <w:szCs w:val="21"/>
    </w:rPr>
  </w:style>
  <w:style w:type="paragraph" w:customStyle="1" w:styleId="88">
    <w:name w:val="样式3"/>
    <w:basedOn w:val="1"/>
    <w:qFormat/>
    <w:uiPriority w:val="0"/>
    <w:pPr>
      <w:adjustRightInd w:val="0"/>
      <w:spacing w:before="240" w:line="460" w:lineRule="exact"/>
      <w:jc w:val="left"/>
      <w:textAlignment w:val="baseline"/>
    </w:pPr>
    <w:rPr>
      <w:rFonts w:ascii="黑体" w:eastAsia="黑体"/>
      <w:kern w:val="0"/>
      <w:sz w:val="28"/>
      <w:szCs w:val="20"/>
    </w:rPr>
  </w:style>
  <w:style w:type="paragraph" w:customStyle="1" w:styleId="89">
    <w:name w:val="p1"/>
    <w:basedOn w:val="1"/>
    <w:qFormat/>
    <w:uiPriority w:val="0"/>
    <w:pPr>
      <w:widowControl/>
      <w:spacing w:before="100" w:beforeAutospacing="1" w:after="100" w:afterAutospacing="1" w:line="280" w:lineRule="atLeast"/>
      <w:jc w:val="left"/>
    </w:pPr>
    <w:rPr>
      <w:rFonts w:ascii="宋体" w:hAnsi="宋体"/>
      <w:color w:val="000000"/>
      <w:kern w:val="0"/>
      <w:sz w:val="18"/>
      <w:szCs w:val="18"/>
    </w:rPr>
  </w:style>
  <w:style w:type="paragraph" w:customStyle="1" w:styleId="90">
    <w:name w:val="标三"/>
    <w:basedOn w:val="6"/>
    <w:qFormat/>
    <w:uiPriority w:val="0"/>
    <w:pPr>
      <w:spacing w:before="0" w:after="0" w:line="240" w:lineRule="auto"/>
      <w:jc w:val="center"/>
    </w:pPr>
    <w:rPr>
      <w:b w:val="0"/>
      <w:sz w:val="24"/>
      <w:szCs w:val="24"/>
    </w:rPr>
  </w:style>
  <w:style w:type="paragraph" w:customStyle="1" w:styleId="91">
    <w:name w:val="默认段落字体 Para Char Char Char Char Char Char Char"/>
    <w:basedOn w:val="1"/>
    <w:qFormat/>
    <w:uiPriority w:val="0"/>
    <w:pPr>
      <w:spacing w:line="360" w:lineRule="auto"/>
    </w:pPr>
    <w:rPr>
      <w:sz w:val="24"/>
    </w:rPr>
  </w:style>
  <w:style w:type="paragraph" w:customStyle="1" w:styleId="92">
    <w:name w:val="Char Char Char Char Char Char Char"/>
    <w:basedOn w:val="1"/>
    <w:qFormat/>
    <w:uiPriority w:val="0"/>
  </w:style>
  <w:style w:type="paragraph" w:customStyle="1" w:styleId="93">
    <w:name w:val="样式 正文 首行缩进:  2 字符 SL CON + (符号) 宋体 首行缩进:  2 字符"/>
    <w:basedOn w:val="1"/>
    <w:qFormat/>
    <w:uiPriority w:val="0"/>
    <w:pPr>
      <w:widowControl/>
      <w:tabs>
        <w:tab w:val="left" w:pos="377"/>
      </w:tabs>
      <w:spacing w:line="360" w:lineRule="auto"/>
      <w:ind w:firstLine="200" w:firstLineChars="200"/>
    </w:pPr>
    <w:rPr>
      <w:rFonts w:ascii="宋体" w:hAnsi="宋体" w:cs="宋体"/>
      <w:kern w:val="0"/>
      <w:sz w:val="28"/>
      <w:szCs w:val="20"/>
    </w:rPr>
  </w:style>
  <w:style w:type="paragraph" w:customStyle="1" w:styleId="94">
    <w:name w:val="样式 正文 首行缩进:  2 字符 SL CON + 首行缩进:  2 字符 + 首行缩进:  2 字符 + 首行缩..."/>
    <w:basedOn w:val="1"/>
    <w:qFormat/>
    <w:uiPriority w:val="0"/>
    <w:pPr>
      <w:widowControl/>
      <w:tabs>
        <w:tab w:val="left" w:pos="377"/>
      </w:tabs>
      <w:spacing w:line="360" w:lineRule="auto"/>
      <w:ind w:firstLine="560" w:firstLineChars="200"/>
    </w:pPr>
    <w:rPr>
      <w:rFonts w:ascii="宋体" w:cs="宋体"/>
      <w:kern w:val="0"/>
      <w:sz w:val="28"/>
      <w:szCs w:val="20"/>
    </w:rPr>
  </w:style>
  <w:style w:type="paragraph" w:customStyle="1" w:styleId="95">
    <w:name w:val="主标题 样式 小一 加粗 居中(SL CON)"/>
    <w:basedOn w:val="1"/>
    <w:qFormat/>
    <w:uiPriority w:val="0"/>
    <w:pPr>
      <w:widowControl/>
      <w:tabs>
        <w:tab w:val="left" w:pos="377"/>
      </w:tabs>
      <w:spacing w:line="360" w:lineRule="auto"/>
      <w:jc w:val="center"/>
    </w:pPr>
    <w:rPr>
      <w:rFonts w:ascii="宋体" w:cs="宋体"/>
      <w:b/>
      <w:bCs/>
      <w:kern w:val="0"/>
      <w:sz w:val="48"/>
      <w:szCs w:val="20"/>
    </w:rPr>
  </w:style>
  <w:style w:type="paragraph" w:customStyle="1" w:styleId="96">
    <w:name w:val="报告的名称 样式 宋体 小初号 加粗 居中(SL CON)"/>
    <w:basedOn w:val="1"/>
    <w:qFormat/>
    <w:uiPriority w:val="0"/>
    <w:pPr>
      <w:widowControl/>
      <w:tabs>
        <w:tab w:val="left" w:pos="377"/>
      </w:tabs>
      <w:spacing w:line="360" w:lineRule="auto"/>
      <w:jc w:val="center"/>
    </w:pPr>
    <w:rPr>
      <w:rFonts w:ascii="宋体" w:hAnsi="宋体" w:eastAsia="黑体" w:cs="宋体"/>
      <w:b/>
      <w:bCs/>
      <w:kern w:val="0"/>
      <w:sz w:val="72"/>
      <w:szCs w:val="20"/>
    </w:rPr>
  </w:style>
  <w:style w:type="paragraph" w:customStyle="1" w:styleId="97">
    <w:name w:val="日期时间 样式 四号 居中 行距: 1.5 倍行距(SL CON)"/>
    <w:basedOn w:val="1"/>
    <w:qFormat/>
    <w:uiPriority w:val="0"/>
    <w:pPr>
      <w:widowControl/>
      <w:tabs>
        <w:tab w:val="left" w:pos="377"/>
      </w:tabs>
      <w:spacing w:line="360" w:lineRule="auto"/>
      <w:jc w:val="center"/>
    </w:pPr>
    <w:rPr>
      <w:rFonts w:ascii="宋体" w:cs="宋体"/>
      <w:kern w:val="0"/>
      <w:sz w:val="28"/>
      <w:szCs w:val="28"/>
    </w:rPr>
  </w:style>
  <w:style w:type="paragraph" w:customStyle="1" w:styleId="98">
    <w:name w:val="样式 首行缩进:  1.7 厘米 行距: 1.5 倍行距"/>
    <w:basedOn w:val="1"/>
    <w:qFormat/>
    <w:uiPriority w:val="0"/>
    <w:pPr>
      <w:widowControl/>
      <w:tabs>
        <w:tab w:val="left" w:pos="377"/>
      </w:tabs>
      <w:spacing w:line="360" w:lineRule="auto"/>
      <w:ind w:firstLine="963"/>
    </w:pPr>
    <w:rPr>
      <w:rFonts w:ascii="宋体" w:cs="宋体"/>
      <w:kern w:val="0"/>
      <w:sz w:val="32"/>
      <w:szCs w:val="20"/>
    </w:rPr>
  </w:style>
  <w:style w:type="paragraph" w:customStyle="1" w:styleId="99">
    <w:name w:val="SL CON-项目编号"/>
    <w:basedOn w:val="1"/>
    <w:qFormat/>
    <w:uiPriority w:val="0"/>
    <w:pPr>
      <w:adjustRightInd w:val="0"/>
      <w:spacing w:line="360" w:lineRule="auto"/>
      <w:jc w:val="center"/>
      <w:textAlignment w:val="baseline"/>
    </w:pPr>
    <w:rPr>
      <w:rFonts w:ascii="宋体" w:cs="宋体"/>
      <w:kern w:val="0"/>
      <w:sz w:val="34"/>
      <w:szCs w:val="20"/>
    </w:rPr>
  </w:style>
  <w:style w:type="paragraph" w:customStyle="1" w:styleId="100">
    <w:name w:val="标题 2 SL CON"/>
    <w:basedOn w:val="1"/>
    <w:next w:val="1"/>
    <w:qFormat/>
    <w:uiPriority w:val="0"/>
    <w:pPr>
      <w:widowControl/>
      <w:tabs>
        <w:tab w:val="left" w:pos="377"/>
        <w:tab w:val="left" w:pos="794"/>
      </w:tabs>
      <w:spacing w:before="100" w:beforeAutospacing="1" w:line="360" w:lineRule="auto"/>
      <w:ind w:left="794" w:hanging="681"/>
      <w:outlineLvl w:val="1"/>
    </w:pPr>
    <w:rPr>
      <w:rFonts w:ascii="黑体" w:eastAsia="黑体" w:cs="宋体"/>
      <w:kern w:val="0"/>
      <w:sz w:val="30"/>
    </w:rPr>
  </w:style>
  <w:style w:type="paragraph" w:customStyle="1" w:styleId="101">
    <w:name w:val="图样式 居中 SL CON"/>
    <w:basedOn w:val="1"/>
    <w:qFormat/>
    <w:uiPriority w:val="0"/>
    <w:pPr>
      <w:widowControl/>
      <w:tabs>
        <w:tab w:val="left" w:pos="377"/>
      </w:tabs>
      <w:spacing w:line="360" w:lineRule="auto"/>
      <w:jc w:val="center"/>
    </w:pPr>
    <w:rPr>
      <w:rFonts w:ascii="宋体" w:cs="宋体"/>
      <w:kern w:val="0"/>
      <w:sz w:val="24"/>
      <w:szCs w:val="20"/>
    </w:rPr>
  </w:style>
  <w:style w:type="paragraph" w:customStyle="1" w:styleId="102">
    <w:name w:val="表（或图）标题 样式 宋体 小四号 居中 SL CON"/>
    <w:basedOn w:val="1"/>
    <w:qFormat/>
    <w:uiPriority w:val="0"/>
    <w:pPr>
      <w:widowControl/>
      <w:tabs>
        <w:tab w:val="left" w:pos="377"/>
      </w:tabs>
      <w:spacing w:before="100" w:beforeAutospacing="1" w:line="360" w:lineRule="auto"/>
      <w:jc w:val="center"/>
    </w:pPr>
    <w:rPr>
      <w:rFonts w:ascii="宋体" w:hAnsi="宋体" w:cs="宋体"/>
      <w:b/>
      <w:kern w:val="0"/>
      <w:sz w:val="24"/>
      <w:szCs w:val="20"/>
    </w:rPr>
  </w:style>
  <w:style w:type="paragraph" w:customStyle="1" w:styleId="103">
    <w:name w:val="正文 首行缩进:  2 字符 SL CON"/>
    <w:basedOn w:val="1"/>
    <w:qFormat/>
    <w:uiPriority w:val="0"/>
    <w:pPr>
      <w:widowControl/>
      <w:tabs>
        <w:tab w:val="left" w:pos="377"/>
      </w:tabs>
      <w:spacing w:line="360" w:lineRule="auto"/>
      <w:ind w:firstLine="200" w:firstLineChars="200"/>
    </w:pPr>
    <w:rPr>
      <w:rFonts w:ascii="宋体" w:cs="宋体"/>
      <w:kern w:val="0"/>
      <w:sz w:val="28"/>
    </w:rPr>
  </w:style>
  <w:style w:type="paragraph" w:customStyle="1" w:styleId="104">
    <w:name w:val="表内文字 样式 小四号 居中 行距: 单倍行距 SL CON"/>
    <w:basedOn w:val="1"/>
    <w:qFormat/>
    <w:uiPriority w:val="0"/>
    <w:pPr>
      <w:widowControl/>
      <w:tabs>
        <w:tab w:val="left" w:pos="377"/>
      </w:tabs>
      <w:jc w:val="center"/>
    </w:pPr>
    <w:rPr>
      <w:rFonts w:ascii="宋体" w:cs="宋体"/>
      <w:kern w:val="0"/>
      <w:sz w:val="24"/>
      <w:szCs w:val="21"/>
    </w:rPr>
  </w:style>
  <w:style w:type="paragraph" w:customStyle="1" w:styleId="105">
    <w:name w:val="公式书写 居中 段前: 6 磅 段后: 6 磅 SL CON"/>
    <w:basedOn w:val="1"/>
    <w:link w:val="242"/>
    <w:qFormat/>
    <w:uiPriority w:val="0"/>
    <w:pPr>
      <w:widowControl/>
      <w:tabs>
        <w:tab w:val="left" w:pos="377"/>
      </w:tabs>
      <w:spacing w:before="120" w:after="120" w:line="360" w:lineRule="auto"/>
      <w:jc w:val="center"/>
    </w:pPr>
    <w:rPr>
      <w:rFonts w:ascii="宋体" w:cs="宋体"/>
      <w:kern w:val="0"/>
      <w:sz w:val="24"/>
      <w:szCs w:val="20"/>
    </w:rPr>
  </w:style>
  <w:style w:type="paragraph" w:customStyle="1" w:styleId="106">
    <w:name w:val="公式书写（编号） 居中 段前: 6 磅 段后: 6 磅 SL CON + (符号) 宋体"/>
    <w:basedOn w:val="105"/>
    <w:link w:val="243"/>
    <w:qFormat/>
    <w:uiPriority w:val="0"/>
  </w:style>
  <w:style w:type="paragraph" w:customStyle="1" w:styleId="107">
    <w:name w:val="样式 (符号) 宋体"/>
    <w:basedOn w:val="1"/>
    <w:qFormat/>
    <w:uiPriority w:val="0"/>
    <w:pPr>
      <w:widowControl/>
      <w:tabs>
        <w:tab w:val="left" w:pos="377"/>
      </w:tabs>
      <w:spacing w:line="360" w:lineRule="auto"/>
      <w:ind w:firstLine="480" w:firstLineChars="200"/>
    </w:pPr>
    <w:rPr>
      <w:rFonts w:ascii="宋体" w:hAnsi="宋体" w:cs="宋体"/>
      <w:kern w:val="0"/>
      <w:sz w:val="28"/>
      <w:szCs w:val="20"/>
    </w:rPr>
  </w:style>
  <w:style w:type="paragraph" w:customStyle="1" w:styleId="108">
    <w:name w:val="样式 正文 首行缩进:  2 字符 SL CON + 首行缩进:  2 字符"/>
    <w:basedOn w:val="103"/>
    <w:qFormat/>
    <w:uiPriority w:val="0"/>
    <w:rPr>
      <w:szCs w:val="20"/>
    </w:rPr>
  </w:style>
  <w:style w:type="paragraph" w:customStyle="1" w:styleId="109">
    <w:name w:val="样式 样式 正文 首行缩进:  2 字符 SL CON + 首行缩进:  2 字符 + 首行缩进:  2 字符"/>
    <w:basedOn w:val="108"/>
    <w:qFormat/>
    <w:uiPriority w:val="0"/>
  </w:style>
  <w:style w:type="paragraph" w:customStyle="1" w:styleId="110">
    <w:name w:val="样式 标题 3 SL CON + 段前: 0.5 行"/>
    <w:basedOn w:val="1"/>
    <w:qFormat/>
    <w:uiPriority w:val="0"/>
    <w:pPr>
      <w:keepNext/>
      <w:keepLines/>
      <w:widowControl/>
      <w:tabs>
        <w:tab w:val="left" w:pos="377"/>
        <w:tab w:val="left" w:pos="907"/>
      </w:tabs>
      <w:spacing w:before="100" w:beforeAutospacing="1" w:line="360" w:lineRule="auto"/>
      <w:ind w:left="907" w:hanging="794"/>
      <w:outlineLvl w:val="2"/>
    </w:pPr>
    <w:rPr>
      <w:rFonts w:ascii="黑体" w:eastAsia="黑体" w:cs="宋体"/>
      <w:bCs/>
      <w:kern w:val="0"/>
      <w:sz w:val="28"/>
      <w:szCs w:val="20"/>
    </w:rPr>
  </w:style>
  <w:style w:type="paragraph" w:customStyle="1" w:styleId="111">
    <w:name w:val="Char Char Char Char Char Char Char Char Char Char"/>
    <w:basedOn w:val="1"/>
    <w:qFormat/>
    <w:uiPriority w:val="0"/>
    <w:pPr>
      <w:spacing w:line="360" w:lineRule="auto"/>
    </w:pPr>
    <w:rPr>
      <w:sz w:val="24"/>
    </w:rPr>
  </w:style>
  <w:style w:type="paragraph" w:customStyle="1" w:styleId="112">
    <w:name w:val="Char Char Char2 Char"/>
    <w:basedOn w:val="1"/>
    <w:qFormat/>
    <w:uiPriority w:val="0"/>
    <w:rPr>
      <w:rFonts w:ascii="Tahoma" w:hAnsi="Tahoma"/>
      <w:sz w:val="24"/>
      <w:szCs w:val="20"/>
    </w:rPr>
  </w:style>
  <w:style w:type="paragraph" w:customStyle="1" w:styleId="113">
    <w:name w:val="表内文字 SL CON + (符号)"/>
    <w:basedOn w:val="1"/>
    <w:qFormat/>
    <w:uiPriority w:val="0"/>
    <w:pPr>
      <w:widowControl/>
      <w:tabs>
        <w:tab w:val="left" w:pos="377"/>
      </w:tabs>
      <w:jc w:val="center"/>
    </w:pPr>
    <w:rPr>
      <w:rFonts w:ascii="宋体" w:cs="宋体"/>
      <w:kern w:val="0"/>
      <w:sz w:val="24"/>
      <w:szCs w:val="21"/>
    </w:rPr>
  </w:style>
  <w:style w:type="paragraph" w:customStyle="1" w:styleId="114">
    <w:name w:val="Char1 Char Char Char"/>
    <w:basedOn w:val="1"/>
    <w:qFormat/>
    <w:uiPriority w:val="0"/>
    <w:pPr>
      <w:spacing w:line="360" w:lineRule="auto"/>
    </w:pPr>
    <w:rPr>
      <w:sz w:val="24"/>
    </w:rPr>
  </w:style>
  <w:style w:type="paragraph" w:customStyle="1" w:styleId="115">
    <w:name w:val="样式 正文 首行缩进 SL CON"/>
    <w:basedOn w:val="109"/>
    <w:qFormat/>
    <w:uiPriority w:val="0"/>
    <w:pPr>
      <w:ind w:firstLine="560"/>
    </w:pPr>
  </w:style>
  <w:style w:type="paragraph" w:customStyle="1" w:styleId="116">
    <w:name w:val="标题 3 SL CON"/>
    <w:basedOn w:val="1"/>
    <w:next w:val="1"/>
    <w:qFormat/>
    <w:uiPriority w:val="0"/>
    <w:pPr>
      <w:keepNext/>
      <w:keepLines/>
      <w:widowControl/>
      <w:tabs>
        <w:tab w:val="left" w:pos="377"/>
        <w:tab w:val="left" w:pos="960"/>
        <w:tab w:val="left" w:pos="1036"/>
      </w:tabs>
      <w:spacing w:before="100" w:beforeAutospacing="1" w:line="360" w:lineRule="auto"/>
      <w:ind w:left="1036" w:hanging="964"/>
      <w:outlineLvl w:val="2"/>
    </w:pPr>
    <w:rPr>
      <w:rFonts w:ascii="黑体" w:eastAsia="黑体" w:cs="宋体"/>
      <w:kern w:val="0"/>
      <w:sz w:val="28"/>
      <w:szCs w:val="20"/>
    </w:rPr>
  </w:style>
  <w:style w:type="paragraph" w:customStyle="1" w:styleId="117">
    <w:name w:val="Char Char Char Char"/>
    <w:basedOn w:val="1"/>
    <w:semiHidden/>
    <w:qFormat/>
    <w:uiPriority w:val="0"/>
  </w:style>
  <w:style w:type="paragraph" w:customStyle="1" w:styleId="118">
    <w:name w:val="Char Char Char Char Char Char Char Char Char Char5"/>
    <w:basedOn w:val="1"/>
    <w:qFormat/>
    <w:uiPriority w:val="0"/>
    <w:pPr>
      <w:spacing w:line="360" w:lineRule="auto"/>
    </w:pPr>
    <w:rPr>
      <w:sz w:val="24"/>
    </w:rPr>
  </w:style>
  <w:style w:type="paragraph" w:customStyle="1" w:styleId="119">
    <w:name w:val="Char Char Char Char Char Char Char Char Char Char4"/>
    <w:basedOn w:val="1"/>
    <w:qFormat/>
    <w:uiPriority w:val="0"/>
    <w:pPr>
      <w:spacing w:line="360" w:lineRule="auto"/>
    </w:pPr>
    <w:rPr>
      <w:sz w:val="24"/>
    </w:rPr>
  </w:style>
  <w:style w:type="paragraph" w:customStyle="1" w:styleId="120">
    <w:name w:val="正文首行缩进1"/>
    <w:basedOn w:val="1"/>
    <w:qFormat/>
    <w:uiPriority w:val="0"/>
    <w:pPr>
      <w:spacing w:line="500" w:lineRule="exact"/>
      <w:ind w:firstLine="520" w:firstLineChars="200"/>
    </w:pPr>
    <w:rPr>
      <w:sz w:val="26"/>
    </w:rPr>
  </w:style>
  <w:style w:type="paragraph" w:customStyle="1" w:styleId="121">
    <w:name w:val="Char Char Char Char Char Char Char Char Char Char3"/>
    <w:basedOn w:val="1"/>
    <w:qFormat/>
    <w:uiPriority w:val="0"/>
    <w:pPr>
      <w:spacing w:line="360" w:lineRule="auto"/>
    </w:pPr>
    <w:rPr>
      <w:sz w:val="24"/>
    </w:rPr>
  </w:style>
  <w:style w:type="paragraph" w:customStyle="1" w:styleId="122">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123">
    <w:name w:val="Char Char Char Char Char Char Char Char Char Char2"/>
    <w:basedOn w:val="1"/>
    <w:qFormat/>
    <w:uiPriority w:val="0"/>
    <w:pPr>
      <w:spacing w:line="360" w:lineRule="auto"/>
    </w:pPr>
    <w:rPr>
      <w:sz w:val="24"/>
    </w:rPr>
  </w:style>
  <w:style w:type="paragraph" w:customStyle="1" w:styleId="124">
    <w:name w:val="Char Char Char Char Char Char Char Char Char Char1"/>
    <w:basedOn w:val="1"/>
    <w:qFormat/>
    <w:uiPriority w:val="0"/>
    <w:pPr>
      <w:spacing w:line="360" w:lineRule="auto"/>
    </w:pPr>
    <w:rPr>
      <w:sz w:val="24"/>
    </w:rPr>
  </w:style>
  <w:style w:type="paragraph" w:customStyle="1" w:styleId="125">
    <w:name w:val="列出段落1"/>
    <w:basedOn w:val="1"/>
    <w:qFormat/>
    <w:uiPriority w:val="0"/>
    <w:pPr>
      <w:ind w:firstLine="420" w:firstLineChars="200"/>
    </w:pPr>
  </w:style>
  <w:style w:type="paragraph" w:customStyle="1" w:styleId="126">
    <w:name w:val="样式2"/>
    <w:basedOn w:val="1"/>
    <w:qFormat/>
    <w:uiPriority w:val="0"/>
    <w:rPr>
      <w:rFonts w:ascii="宋体"/>
      <w:sz w:val="28"/>
      <w:szCs w:val="20"/>
    </w:rPr>
  </w:style>
  <w:style w:type="paragraph" w:customStyle="1" w:styleId="127">
    <w:name w:val="正文1"/>
    <w:basedOn w:val="1"/>
    <w:qFormat/>
    <w:uiPriority w:val="0"/>
    <w:pPr>
      <w:adjustRightInd w:val="0"/>
      <w:spacing w:after="120" w:line="360" w:lineRule="atLeast"/>
      <w:jc w:val="center"/>
      <w:textAlignment w:val="baseline"/>
    </w:pPr>
    <w:rPr>
      <w:kern w:val="0"/>
      <w:sz w:val="24"/>
      <w:szCs w:val="20"/>
    </w:rPr>
  </w:style>
  <w:style w:type="paragraph" w:customStyle="1" w:styleId="128">
    <w:name w:val="条(三级)"/>
    <w:basedOn w:val="1"/>
    <w:next w:val="1"/>
    <w:qFormat/>
    <w:uiPriority w:val="0"/>
    <w:pPr>
      <w:keepNext/>
      <w:keepLines/>
      <w:adjustRightInd w:val="0"/>
      <w:spacing w:line="460" w:lineRule="exact"/>
      <w:jc w:val="left"/>
      <w:textAlignment w:val="baseline"/>
    </w:pPr>
    <w:rPr>
      <w:rFonts w:hAnsi="Arial"/>
      <w:spacing w:val="3"/>
      <w:kern w:val="24"/>
      <w:sz w:val="24"/>
      <w:szCs w:val="20"/>
    </w:rPr>
  </w:style>
  <w:style w:type="paragraph" w:customStyle="1" w:styleId="129">
    <w:name w:val="Achievement"/>
    <w:basedOn w:val="22"/>
    <w:qFormat/>
    <w:uiPriority w:val="0"/>
    <w:pPr>
      <w:widowControl/>
      <w:numPr>
        <w:ilvl w:val="0"/>
        <w:numId w:val="1"/>
      </w:numPr>
      <w:spacing w:after="60" w:line="220" w:lineRule="atLeast"/>
      <w:ind w:right="-360"/>
      <w:jc w:val="left"/>
    </w:pPr>
    <w:rPr>
      <w:kern w:val="0"/>
      <w:sz w:val="20"/>
      <w:szCs w:val="20"/>
    </w:rPr>
  </w:style>
  <w:style w:type="paragraph" w:customStyle="1" w:styleId="130">
    <w:name w:val="Personal Info"/>
    <w:basedOn w:val="129"/>
    <w:qFormat/>
    <w:uiPriority w:val="0"/>
    <w:pPr>
      <w:spacing w:before="220"/>
    </w:pPr>
  </w:style>
  <w:style w:type="paragraph" w:customStyle="1" w:styleId="131">
    <w:name w:val="Address 1"/>
    <w:basedOn w:val="1"/>
    <w:qFormat/>
    <w:uiPriority w:val="0"/>
    <w:pPr>
      <w:framePr w:w="2400" w:wrap="notBeside" w:vAnchor="page" w:hAnchor="page" w:x="8065" w:y="1009" w:anchorLock="1"/>
      <w:widowControl/>
      <w:spacing w:line="200" w:lineRule="atLeast"/>
      <w:jc w:val="left"/>
    </w:pPr>
    <w:rPr>
      <w:kern w:val="0"/>
      <w:sz w:val="16"/>
      <w:szCs w:val="20"/>
    </w:rPr>
  </w:style>
  <w:style w:type="paragraph" w:customStyle="1" w:styleId="132">
    <w:name w:val="Address 2"/>
    <w:basedOn w:val="1"/>
    <w:qFormat/>
    <w:uiPriority w:val="0"/>
    <w:pPr>
      <w:framePr w:w="2405" w:wrap="notBeside" w:vAnchor="page" w:hAnchor="page" w:x="5761" w:y="1009" w:anchorLock="1"/>
      <w:widowControl/>
      <w:spacing w:line="200" w:lineRule="atLeast"/>
      <w:jc w:val="left"/>
    </w:pPr>
    <w:rPr>
      <w:kern w:val="0"/>
      <w:sz w:val="16"/>
      <w:szCs w:val="20"/>
    </w:rPr>
  </w:style>
  <w:style w:type="paragraph" w:customStyle="1" w:styleId="133">
    <w:name w:val="City/State"/>
    <w:basedOn w:val="22"/>
    <w:next w:val="22"/>
    <w:qFormat/>
    <w:uiPriority w:val="0"/>
    <w:pPr>
      <w:keepNext/>
      <w:widowControl/>
      <w:spacing w:after="220" w:line="220" w:lineRule="atLeast"/>
      <w:ind w:right="-360"/>
      <w:jc w:val="left"/>
    </w:pPr>
    <w:rPr>
      <w:kern w:val="0"/>
      <w:sz w:val="20"/>
      <w:szCs w:val="20"/>
    </w:rPr>
  </w:style>
  <w:style w:type="paragraph" w:customStyle="1" w:styleId="134">
    <w:name w:val="Company Name"/>
    <w:basedOn w:val="1"/>
    <w:next w:val="1"/>
    <w:qFormat/>
    <w:uiPriority w:val="0"/>
    <w:pPr>
      <w:widowControl/>
      <w:tabs>
        <w:tab w:val="left" w:pos="2160"/>
        <w:tab w:val="right" w:pos="6480"/>
      </w:tabs>
      <w:spacing w:before="220" w:after="40" w:line="220" w:lineRule="atLeast"/>
      <w:ind w:right="-360"/>
      <w:jc w:val="left"/>
    </w:pPr>
    <w:rPr>
      <w:kern w:val="0"/>
      <w:sz w:val="20"/>
      <w:szCs w:val="20"/>
    </w:rPr>
  </w:style>
  <w:style w:type="paragraph" w:customStyle="1" w:styleId="135">
    <w:name w:val="Company Name One"/>
    <w:basedOn w:val="134"/>
    <w:next w:val="1"/>
    <w:qFormat/>
    <w:uiPriority w:val="0"/>
  </w:style>
  <w:style w:type="paragraph" w:customStyle="1" w:styleId="136">
    <w:name w:val="Document Label"/>
    <w:basedOn w:val="1"/>
    <w:next w:val="1"/>
    <w:qFormat/>
    <w:uiPriority w:val="0"/>
    <w:pPr>
      <w:widowControl/>
      <w:spacing w:after="220"/>
      <w:ind w:right="-360"/>
      <w:jc w:val="left"/>
    </w:pPr>
    <w:rPr>
      <w:spacing w:val="-20"/>
      <w:kern w:val="0"/>
      <w:sz w:val="48"/>
      <w:szCs w:val="20"/>
    </w:rPr>
  </w:style>
  <w:style w:type="paragraph" w:customStyle="1" w:styleId="137">
    <w:name w:val="Header Base"/>
    <w:basedOn w:val="1"/>
    <w:qFormat/>
    <w:uiPriority w:val="0"/>
    <w:pPr>
      <w:widowControl/>
      <w:ind w:right="-360"/>
      <w:jc w:val="left"/>
    </w:pPr>
    <w:rPr>
      <w:kern w:val="0"/>
      <w:sz w:val="20"/>
      <w:szCs w:val="20"/>
    </w:rPr>
  </w:style>
  <w:style w:type="paragraph" w:customStyle="1" w:styleId="138">
    <w:name w:val="Heading Base"/>
    <w:basedOn w:val="22"/>
    <w:next w:val="22"/>
    <w:qFormat/>
    <w:uiPriority w:val="0"/>
    <w:pPr>
      <w:keepNext/>
      <w:keepLines/>
      <w:widowControl/>
      <w:spacing w:after="0" w:line="220" w:lineRule="atLeast"/>
      <w:ind w:right="-360"/>
      <w:jc w:val="left"/>
    </w:pPr>
    <w:rPr>
      <w:rFonts w:ascii="Arial" w:hAnsi="Arial"/>
      <w:spacing w:val="-4"/>
      <w:kern w:val="0"/>
      <w:sz w:val="18"/>
      <w:szCs w:val="20"/>
    </w:rPr>
  </w:style>
  <w:style w:type="paragraph" w:customStyle="1" w:styleId="139">
    <w:name w:val="Institution"/>
    <w:basedOn w:val="1"/>
    <w:next w:val="129"/>
    <w:qFormat/>
    <w:uiPriority w:val="0"/>
    <w:pPr>
      <w:widowControl/>
      <w:tabs>
        <w:tab w:val="left" w:pos="2160"/>
        <w:tab w:val="right" w:pos="6480"/>
      </w:tabs>
      <w:spacing w:before="220" w:after="60" w:line="220" w:lineRule="atLeast"/>
      <w:ind w:right="-360"/>
      <w:jc w:val="left"/>
    </w:pPr>
    <w:rPr>
      <w:kern w:val="0"/>
      <w:sz w:val="20"/>
      <w:szCs w:val="20"/>
    </w:rPr>
  </w:style>
  <w:style w:type="paragraph" w:customStyle="1" w:styleId="140">
    <w:name w:val="Job Title"/>
    <w:next w:val="129"/>
    <w:qFormat/>
    <w:uiPriority w:val="0"/>
    <w:pPr>
      <w:spacing w:after="40" w:line="220" w:lineRule="atLeast"/>
    </w:pPr>
    <w:rPr>
      <w:rFonts w:ascii="Arial" w:hAnsi="Arial" w:eastAsia="宋体" w:cs="Times New Roman"/>
      <w:b/>
      <w:spacing w:val="-10"/>
      <w:lang w:val="en-US" w:eastAsia="zh-CN" w:bidi="ar-SA"/>
    </w:rPr>
  </w:style>
  <w:style w:type="paragraph" w:customStyle="1" w:styleId="141">
    <w:name w:val="Name"/>
    <w:basedOn w:val="1"/>
    <w:next w:val="1"/>
    <w:qFormat/>
    <w:uiPriority w:val="0"/>
    <w:pPr>
      <w:widowControl/>
      <w:spacing w:after="440" w:line="240" w:lineRule="atLeast"/>
      <w:ind w:left="2160"/>
      <w:jc w:val="left"/>
    </w:pPr>
    <w:rPr>
      <w:spacing w:val="-20"/>
      <w:kern w:val="0"/>
      <w:sz w:val="48"/>
      <w:szCs w:val="20"/>
    </w:rPr>
  </w:style>
  <w:style w:type="paragraph" w:customStyle="1" w:styleId="142">
    <w:name w:val="No Title"/>
    <w:basedOn w:val="1"/>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Arial" w:hAnsi="Arial"/>
      <w:b/>
      <w:spacing w:val="-10"/>
      <w:kern w:val="0"/>
      <w:position w:val="7"/>
      <w:sz w:val="20"/>
      <w:szCs w:val="20"/>
    </w:rPr>
  </w:style>
  <w:style w:type="paragraph" w:customStyle="1" w:styleId="143">
    <w:name w:val="Objective"/>
    <w:basedOn w:val="1"/>
    <w:next w:val="22"/>
    <w:qFormat/>
    <w:uiPriority w:val="0"/>
    <w:pPr>
      <w:widowControl/>
      <w:spacing w:before="220" w:after="220" w:line="220" w:lineRule="atLeast"/>
      <w:jc w:val="left"/>
    </w:pPr>
    <w:rPr>
      <w:kern w:val="0"/>
      <w:sz w:val="20"/>
      <w:szCs w:val="20"/>
    </w:rPr>
  </w:style>
  <w:style w:type="paragraph" w:customStyle="1" w:styleId="144">
    <w:name w:val="Section Title"/>
    <w:basedOn w:val="1"/>
    <w:next w:val="1"/>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Arial" w:hAnsi="Arial"/>
      <w:b/>
      <w:spacing w:val="-10"/>
      <w:kern w:val="0"/>
      <w:position w:val="7"/>
      <w:sz w:val="20"/>
      <w:szCs w:val="20"/>
    </w:rPr>
  </w:style>
  <w:style w:type="paragraph" w:customStyle="1" w:styleId="145">
    <w:name w:val="Section Subtitle"/>
    <w:basedOn w:val="144"/>
    <w:next w:val="1"/>
    <w:qFormat/>
    <w:uiPriority w:val="0"/>
    <w:pPr>
      <w:pBdr>
        <w:top w:val="none" w:color="auto" w:sz="0" w:space="0"/>
      </w:pBdr>
    </w:pPr>
    <w:rPr>
      <w:b w:val="0"/>
      <w:spacing w:val="0"/>
      <w:position w:val="6"/>
    </w:rPr>
  </w:style>
  <w:style w:type="paragraph" w:customStyle="1" w:styleId="146">
    <w:name w:val="正文文本 21"/>
    <w:basedOn w:val="1"/>
    <w:qFormat/>
    <w:uiPriority w:val="0"/>
    <w:pPr>
      <w:adjustRightInd w:val="0"/>
      <w:ind w:firstLine="425"/>
      <w:textAlignment w:val="baseline"/>
    </w:pPr>
    <w:rPr>
      <w:szCs w:val="20"/>
    </w:rPr>
  </w:style>
  <w:style w:type="paragraph" w:customStyle="1" w:styleId="147">
    <w:name w:val="条(二级)"/>
    <w:basedOn w:val="4"/>
    <w:next w:val="128"/>
    <w:qFormat/>
    <w:uiPriority w:val="0"/>
    <w:pPr>
      <w:adjustRightInd w:val="0"/>
      <w:spacing w:before="0" w:after="0" w:line="460" w:lineRule="exact"/>
      <w:jc w:val="left"/>
      <w:textAlignment w:val="baseline"/>
      <w:outlineLvl w:val="9"/>
    </w:pPr>
    <w:rPr>
      <w:rFonts w:ascii="宋体" w:eastAsia="宋体"/>
      <w:spacing w:val="3"/>
      <w:kern w:val="24"/>
      <w:sz w:val="24"/>
    </w:rPr>
  </w:style>
  <w:style w:type="paragraph" w:customStyle="1" w:styleId="148">
    <w:name w:val="条(四级)"/>
    <w:basedOn w:val="128"/>
    <w:next w:val="1"/>
    <w:qFormat/>
    <w:uiPriority w:val="0"/>
  </w:style>
  <w:style w:type="paragraph" w:customStyle="1" w:styleId="149">
    <w:name w:val="条文1"/>
    <w:basedOn w:val="150"/>
    <w:qFormat/>
    <w:uiPriority w:val="0"/>
    <w:pPr>
      <w:numPr>
        <w:ilvl w:val="0"/>
        <w:numId w:val="2"/>
      </w:numPr>
      <w:ind w:left="907" w:hanging="425"/>
    </w:pPr>
  </w:style>
  <w:style w:type="paragraph" w:customStyle="1" w:styleId="150">
    <w:name w:val="段"/>
    <w:basedOn w:val="1"/>
    <w:qFormat/>
    <w:uiPriority w:val="0"/>
    <w:pPr>
      <w:adjustRightInd w:val="0"/>
      <w:spacing w:line="460" w:lineRule="exact"/>
      <w:ind w:firstLine="482"/>
      <w:jc w:val="left"/>
      <w:textAlignment w:val="baseline"/>
    </w:pPr>
    <w:rPr>
      <w:rFonts w:hAnsi="Arial"/>
      <w:spacing w:val="3"/>
      <w:kern w:val="24"/>
      <w:sz w:val="24"/>
      <w:szCs w:val="20"/>
    </w:rPr>
  </w:style>
  <w:style w:type="paragraph" w:customStyle="1" w:styleId="151">
    <w:name w:val="页号"/>
    <w:basedOn w:val="35"/>
    <w:qFormat/>
    <w:uiPriority w:val="0"/>
    <w:pPr>
      <w:tabs>
        <w:tab w:val="center" w:pos="4320"/>
        <w:tab w:val="right" w:pos="8640"/>
        <w:tab w:val="clear" w:pos="4153"/>
        <w:tab w:val="clear" w:pos="8306"/>
      </w:tabs>
      <w:adjustRightInd w:val="0"/>
      <w:snapToGrid/>
      <w:jc w:val="center"/>
      <w:textAlignment w:val="baseline"/>
    </w:pPr>
    <w:rPr>
      <w:rFonts w:hAnsi="Arial"/>
      <w:spacing w:val="3"/>
      <w:kern w:val="24"/>
      <w:sz w:val="24"/>
      <w:szCs w:val="20"/>
    </w:rPr>
  </w:style>
  <w:style w:type="paragraph" w:customStyle="1" w:styleId="152">
    <w:name w:val="列表延续 2"/>
    <w:basedOn w:val="1"/>
    <w:qFormat/>
    <w:uiPriority w:val="0"/>
    <w:pPr>
      <w:autoSpaceDE w:val="0"/>
      <w:autoSpaceDN w:val="0"/>
      <w:adjustRightInd w:val="0"/>
      <w:spacing w:line="360" w:lineRule="atLeast"/>
      <w:ind w:left="420" w:hanging="420"/>
      <w:jc w:val="left"/>
    </w:pPr>
    <w:rPr>
      <w:rFonts w:ascii="宋体" w:hAnsi="Tms Rmn"/>
      <w:spacing w:val="20"/>
      <w:kern w:val="0"/>
      <w:sz w:val="24"/>
      <w:szCs w:val="20"/>
    </w:rPr>
  </w:style>
  <w:style w:type="paragraph" w:customStyle="1" w:styleId="153">
    <w:name w:val="列表延续 21"/>
    <w:basedOn w:val="1"/>
    <w:qFormat/>
    <w:uiPriority w:val="0"/>
    <w:pPr>
      <w:autoSpaceDE w:val="0"/>
      <w:autoSpaceDN w:val="0"/>
      <w:adjustRightInd w:val="0"/>
      <w:spacing w:line="360" w:lineRule="atLeast"/>
      <w:ind w:left="840" w:hanging="420"/>
      <w:jc w:val="left"/>
    </w:pPr>
    <w:rPr>
      <w:rFonts w:ascii="宋体" w:hAnsi="Tms Rmn"/>
      <w:spacing w:val="20"/>
      <w:kern w:val="0"/>
      <w:sz w:val="24"/>
      <w:szCs w:val="20"/>
    </w:rPr>
  </w:style>
  <w:style w:type="paragraph" w:customStyle="1" w:styleId="154">
    <w:name w:val="章(一级)"/>
    <w:basedOn w:val="3"/>
    <w:next w:val="147"/>
    <w:qFormat/>
    <w:uiPriority w:val="0"/>
    <w:pPr>
      <w:tabs>
        <w:tab w:val="left" w:pos="915"/>
      </w:tabs>
      <w:adjustRightInd w:val="0"/>
      <w:spacing w:line="360" w:lineRule="auto"/>
      <w:jc w:val="left"/>
      <w:textAlignment w:val="baseline"/>
      <w:outlineLvl w:val="9"/>
    </w:pPr>
    <w:rPr>
      <w:rFonts w:ascii="宋体"/>
      <w:b/>
      <w:spacing w:val="20"/>
      <w:kern w:val="0"/>
      <w:sz w:val="24"/>
    </w:rPr>
  </w:style>
  <w:style w:type="paragraph" w:customStyle="1" w:styleId="155">
    <w:name w:val="条文2"/>
    <w:basedOn w:val="150"/>
    <w:qFormat/>
    <w:uiPriority w:val="0"/>
    <w:pPr>
      <w:ind w:left="1151" w:hanging="425"/>
    </w:pPr>
    <w:rPr>
      <w:rFonts w:ascii="宋体"/>
    </w:rPr>
  </w:style>
  <w:style w:type="paragraph" w:customStyle="1" w:styleId="156">
    <w:name w:val="档案号"/>
    <w:basedOn w:val="36"/>
    <w:qFormat/>
    <w:uiPriority w:val="0"/>
    <w:pPr>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ascii="宋体" w:hAnsi="Arial"/>
      <w:spacing w:val="3"/>
      <w:kern w:val="24"/>
      <w:sz w:val="24"/>
      <w:szCs w:val="20"/>
    </w:rPr>
  </w:style>
  <w:style w:type="paragraph" w:customStyle="1" w:styleId="157">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58">
    <w:name w:val="标题4"/>
    <w:basedOn w:val="6"/>
    <w:qFormat/>
    <w:uiPriority w:val="0"/>
    <w:pPr>
      <w:widowControl/>
      <w:adjustRightInd w:val="0"/>
      <w:snapToGrid w:val="0"/>
      <w:spacing w:before="0" w:after="0" w:line="360" w:lineRule="auto"/>
      <w:jc w:val="left"/>
    </w:pPr>
    <w:rPr>
      <w:b w:val="0"/>
      <w:bCs w:val="0"/>
      <w:snapToGrid w:val="0"/>
      <w:color w:val="000000"/>
      <w:spacing w:val="40"/>
      <w:kern w:val="0"/>
      <w:sz w:val="24"/>
      <w:szCs w:val="20"/>
    </w:rPr>
  </w:style>
  <w:style w:type="paragraph" w:customStyle="1" w:styleId="159">
    <w:name w:val="标题5"/>
    <w:basedOn w:val="158"/>
    <w:qFormat/>
    <w:uiPriority w:val="0"/>
    <w:pPr>
      <w:spacing w:line="240" w:lineRule="auto"/>
    </w:pPr>
    <w:rPr>
      <w:i/>
      <w:spacing w:val="0"/>
    </w:rPr>
  </w:style>
  <w:style w:type="paragraph" w:customStyle="1" w:styleId="160">
    <w:name w:val="普通 (Web)"/>
    <w:basedOn w:val="1"/>
    <w:qFormat/>
    <w:uiPriority w:val="0"/>
    <w:rPr>
      <w:sz w:val="24"/>
    </w:rPr>
  </w:style>
  <w:style w:type="paragraph" w:customStyle="1" w:styleId="161">
    <w:name w:val="xl24"/>
    <w:basedOn w:val="1"/>
    <w:qFormat/>
    <w:uiPriority w:val="0"/>
    <w:pPr>
      <w:widowControl/>
      <w:pBdr>
        <w:right w:val="single" w:color="auto" w:sz="4" w:space="0"/>
      </w:pBdr>
      <w:spacing w:before="100" w:after="100"/>
      <w:jc w:val="center"/>
    </w:pPr>
    <w:rPr>
      <w:rFonts w:ascii="Arial Unicode MS" w:hAnsi="Arial Unicode MS" w:eastAsia="Arial Unicode MS"/>
      <w:kern w:val="0"/>
      <w:sz w:val="24"/>
      <w:szCs w:val="20"/>
    </w:rPr>
  </w:style>
  <w:style w:type="paragraph" w:customStyle="1" w:styleId="162">
    <w:name w:val="样式4"/>
    <w:basedOn w:val="36"/>
    <w:qFormat/>
    <w:uiPriority w:val="0"/>
    <w:pPr>
      <w:pBdr>
        <w:bottom w:val="single" w:color="auto" w:sz="6" w:space="0"/>
      </w:pBdr>
      <w:tabs>
        <w:tab w:val="clear" w:pos="4153"/>
      </w:tabs>
    </w:pPr>
    <w:rPr>
      <w:szCs w:val="21"/>
    </w:rPr>
  </w:style>
  <w:style w:type="paragraph" w:customStyle="1" w:styleId="163">
    <w:name w:val="样式5"/>
    <w:basedOn w:val="1"/>
    <w:qFormat/>
    <w:uiPriority w:val="0"/>
    <w:pPr>
      <w:spacing w:line="400" w:lineRule="exact"/>
      <w:jc w:val="center"/>
    </w:pPr>
    <w:rPr>
      <w:rFonts w:ascii="宋体"/>
      <w:szCs w:val="21"/>
    </w:rPr>
  </w:style>
  <w:style w:type="paragraph" w:customStyle="1" w:styleId="164">
    <w:name w:val="样式6"/>
    <w:basedOn w:val="1"/>
    <w:qFormat/>
    <w:uiPriority w:val="0"/>
    <w:pPr>
      <w:spacing w:line="400" w:lineRule="exact"/>
      <w:jc w:val="center"/>
    </w:pPr>
    <w:rPr>
      <w:rFonts w:ascii="宋体"/>
      <w:szCs w:val="21"/>
    </w:rPr>
  </w:style>
  <w:style w:type="paragraph" w:customStyle="1" w:styleId="165">
    <w:name w:val="缩进正文"/>
    <w:basedOn w:val="23"/>
    <w:qFormat/>
    <w:uiPriority w:val="0"/>
    <w:pPr>
      <w:adjustRightInd w:val="0"/>
      <w:snapToGrid w:val="0"/>
      <w:spacing w:line="300" w:lineRule="auto"/>
      <w:ind w:firstLine="200" w:firstLineChars="200"/>
    </w:pPr>
    <w:rPr>
      <w:rFonts w:hAnsi="Times New Roman"/>
      <w:color w:val="auto"/>
      <w:szCs w:val="20"/>
    </w:rPr>
  </w:style>
  <w:style w:type="paragraph" w:customStyle="1" w:styleId="166">
    <w:name w:val="标准小四"/>
    <w:basedOn w:val="1"/>
    <w:qFormat/>
    <w:uiPriority w:val="0"/>
    <w:pPr>
      <w:spacing w:line="360" w:lineRule="auto"/>
      <w:ind w:firstLine="480" w:firstLineChars="200"/>
    </w:pPr>
    <w:rPr>
      <w:sz w:val="24"/>
      <w:szCs w:val="21"/>
    </w:rPr>
  </w:style>
  <w:style w:type="paragraph" w:customStyle="1" w:styleId="167">
    <w:name w:val="基准页眉样式"/>
    <w:basedOn w:val="22"/>
    <w:qFormat/>
    <w:uiPriority w:val="0"/>
    <w:pPr>
      <w:keepLines/>
      <w:widowControl/>
      <w:tabs>
        <w:tab w:val="center" w:pos="-18551"/>
        <w:tab w:val="right" w:pos="4320"/>
      </w:tabs>
      <w:spacing w:after="0" w:line="240" w:lineRule="atLeast"/>
      <w:jc w:val="center"/>
    </w:pPr>
    <w:rPr>
      <w:rFonts w:ascii="Garamond" w:hAnsi="Garamond"/>
      <w:smallCaps/>
      <w:spacing w:val="15"/>
      <w:kern w:val="0"/>
    </w:rPr>
  </w:style>
  <w:style w:type="paragraph" w:customStyle="1" w:styleId="16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69">
    <w:name w:val="font0"/>
    <w:basedOn w:val="1"/>
    <w:qFormat/>
    <w:uiPriority w:val="0"/>
    <w:pPr>
      <w:widowControl/>
      <w:spacing w:before="100" w:beforeAutospacing="1" w:after="100" w:afterAutospacing="1"/>
      <w:jc w:val="left"/>
    </w:pPr>
    <w:rPr>
      <w:rFonts w:ascii="宋体" w:hAnsi="宋体"/>
      <w:kern w:val="0"/>
      <w:sz w:val="24"/>
    </w:rPr>
  </w:style>
  <w:style w:type="paragraph" w:customStyle="1" w:styleId="170">
    <w:name w:val="Char1"/>
    <w:basedOn w:val="1"/>
    <w:qFormat/>
    <w:uiPriority w:val="0"/>
  </w:style>
  <w:style w:type="paragraph" w:customStyle="1" w:styleId="171">
    <w:name w:val="表中字"/>
    <w:basedOn w:val="1"/>
    <w:qFormat/>
    <w:uiPriority w:val="0"/>
    <w:pPr>
      <w:ind w:left="-109" w:leftChars="-52" w:firstLine="42"/>
      <w:jc w:val="left"/>
      <w:textAlignment w:val="center"/>
    </w:pPr>
    <w:rPr>
      <w:rFonts w:ascii="宋体" w:hAnsi="宋体"/>
      <w:color w:val="000000"/>
      <w:kern w:val="0"/>
      <w:sz w:val="24"/>
      <w:szCs w:val="20"/>
    </w:rPr>
  </w:style>
  <w:style w:type="paragraph" w:customStyle="1" w:styleId="172">
    <w:name w:val="Char Char Char Char 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173">
    <w:name w:val="样式 正文首缩2 + 首行缩进:  2 字符"/>
    <w:basedOn w:val="1"/>
    <w:qFormat/>
    <w:uiPriority w:val="0"/>
    <w:pPr>
      <w:spacing w:line="360" w:lineRule="auto"/>
      <w:jc w:val="center"/>
    </w:pPr>
    <w:rPr>
      <w:rFonts w:hAnsi="宋体"/>
      <w:b/>
      <w:kern w:val="0"/>
      <w:szCs w:val="21"/>
    </w:rPr>
  </w:style>
  <w:style w:type="paragraph" w:customStyle="1" w:styleId="174">
    <w:name w:val="正文缩进2字符"/>
    <w:basedOn w:val="1"/>
    <w:qFormat/>
    <w:uiPriority w:val="0"/>
    <w:pPr>
      <w:adjustRightInd w:val="0"/>
      <w:snapToGrid w:val="0"/>
      <w:spacing w:line="300" w:lineRule="auto"/>
      <w:ind w:firstLine="480" w:firstLineChars="200"/>
      <w:jc w:val="left"/>
    </w:pPr>
    <w:rPr>
      <w:snapToGrid w:val="0"/>
      <w:kern w:val="0"/>
      <w:sz w:val="24"/>
    </w:rPr>
  </w:style>
  <w:style w:type="paragraph" w:customStyle="1" w:styleId="175">
    <w:name w:val="样式 标题 2二级标题 + 黑体 四号 居中 右侧:  -0.12 厘米 行距: 1.5 倍行距"/>
    <w:basedOn w:val="4"/>
    <w:qFormat/>
    <w:uiPriority w:val="0"/>
    <w:pPr>
      <w:spacing w:before="240" w:after="240" w:line="360" w:lineRule="auto"/>
      <w:ind w:right="-70"/>
      <w:jc w:val="center"/>
    </w:pPr>
    <w:rPr>
      <w:rFonts w:ascii="宋体" w:hAnsi="宋体" w:eastAsia="宋体" w:cs="宋体"/>
      <w:sz w:val="24"/>
      <w:szCs w:val="24"/>
      <w:lang w:val="zh-CN"/>
    </w:rPr>
  </w:style>
  <w:style w:type="paragraph" w:customStyle="1" w:styleId="176">
    <w:name w:val="表"/>
    <w:basedOn w:val="1"/>
    <w:qFormat/>
    <w:uiPriority w:val="0"/>
    <w:pPr>
      <w:spacing w:line="300" w:lineRule="auto"/>
    </w:pPr>
    <w:rPr>
      <w:rFonts w:eastAsia="仿宋_GB2312"/>
      <w:bCs/>
      <w:sz w:val="24"/>
    </w:rPr>
  </w:style>
  <w:style w:type="paragraph" w:customStyle="1" w:styleId="177">
    <w:name w:val="表内正文"/>
    <w:basedOn w:val="1"/>
    <w:qFormat/>
    <w:uiPriority w:val="0"/>
    <w:rPr>
      <w:sz w:val="24"/>
      <w:szCs w:val="20"/>
    </w:rPr>
  </w:style>
  <w:style w:type="paragraph" w:customStyle="1" w:styleId="178">
    <w:name w:val="简单回函地址"/>
    <w:basedOn w:val="1"/>
    <w:qFormat/>
    <w:uiPriority w:val="0"/>
  </w:style>
  <w:style w:type="paragraph" w:customStyle="1" w:styleId="179">
    <w:name w:val="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szCs w:val="20"/>
    </w:rPr>
  </w:style>
  <w:style w:type="paragraph" w:customStyle="1" w:styleId="180">
    <w:name w:val="Char1 Char Char1 Char Char Char Char"/>
    <w:basedOn w:val="1"/>
    <w:qFormat/>
    <w:uiPriority w:val="0"/>
  </w:style>
  <w:style w:type="paragraph" w:customStyle="1" w:styleId="181">
    <w:name w:val="样式7"/>
    <w:basedOn w:val="1"/>
    <w:qFormat/>
    <w:uiPriority w:val="0"/>
    <w:pPr>
      <w:jc w:val="center"/>
    </w:pPr>
    <w:rPr>
      <w:szCs w:val="20"/>
    </w:rPr>
  </w:style>
  <w:style w:type="paragraph" w:customStyle="1" w:styleId="182">
    <w:name w:val="样式8"/>
    <w:basedOn w:val="1"/>
    <w:qFormat/>
    <w:uiPriority w:val="0"/>
    <w:pPr>
      <w:pBdr>
        <w:bottom w:val="single" w:color="auto" w:sz="4" w:space="1"/>
      </w:pBdr>
    </w:pPr>
    <w:rPr>
      <w:szCs w:val="20"/>
    </w:rPr>
  </w:style>
  <w:style w:type="paragraph" w:customStyle="1" w:styleId="183">
    <w:name w:val="样式9"/>
    <w:basedOn w:val="1"/>
    <w:qFormat/>
    <w:uiPriority w:val="0"/>
    <w:rPr>
      <w:szCs w:val="20"/>
    </w:rPr>
  </w:style>
  <w:style w:type="paragraph" w:customStyle="1" w:styleId="184">
    <w:name w:val="Char2"/>
    <w:basedOn w:val="1"/>
    <w:qFormat/>
    <w:uiPriority w:val="0"/>
  </w:style>
  <w:style w:type="paragraph" w:customStyle="1" w:styleId="185">
    <w:name w:val="图"/>
    <w:basedOn w:val="1"/>
    <w:qFormat/>
    <w:uiPriority w:val="0"/>
    <w:pPr>
      <w:spacing w:before="120" w:beforeLines="50" w:after="240" w:afterLines="100" w:line="360" w:lineRule="auto"/>
      <w:jc w:val="center"/>
    </w:pPr>
    <w:rPr>
      <w:b/>
      <w:szCs w:val="21"/>
    </w:rPr>
  </w:style>
  <w:style w:type="paragraph" w:customStyle="1" w:styleId="18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88">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1">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szCs w:val="22"/>
    </w:rPr>
  </w:style>
  <w:style w:type="paragraph" w:customStyle="1" w:styleId="192">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93">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95">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98">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黑体" w:hAnsi="黑体" w:eastAsia="黑体" w:cs="宋体"/>
      <w:color w:val="000000"/>
      <w:kern w:val="0"/>
      <w:sz w:val="20"/>
      <w:szCs w:val="20"/>
    </w:rPr>
  </w:style>
  <w:style w:type="paragraph" w:customStyle="1" w:styleId="199">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200">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201">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02">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203">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204">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kern w:val="0"/>
      <w:sz w:val="22"/>
      <w:szCs w:val="22"/>
    </w:rPr>
  </w:style>
  <w:style w:type="paragraph" w:customStyle="1" w:styleId="205">
    <w:name w:val="xl108"/>
    <w:basedOn w:val="1"/>
    <w:qFormat/>
    <w:uiPriority w:val="0"/>
    <w:pPr>
      <w:widowControl/>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jc w:val="center"/>
      <w:textAlignment w:val="center"/>
    </w:pPr>
    <w:rPr>
      <w:rFonts w:ascii="宋体" w:hAnsi="宋体" w:cs="宋体"/>
      <w:color w:val="000000"/>
      <w:kern w:val="0"/>
      <w:sz w:val="20"/>
      <w:szCs w:val="20"/>
    </w:rPr>
  </w:style>
  <w:style w:type="paragraph" w:customStyle="1" w:styleId="206">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7">
    <w:name w:val="xl11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8">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9">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0">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2">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3">
    <w:name w:val="xl11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4">
    <w:name w:val="xl11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5">
    <w:name w:val="xl11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6">
    <w:name w:val="Char3"/>
    <w:basedOn w:val="1"/>
    <w:qFormat/>
    <w:uiPriority w:val="0"/>
    <w:pPr>
      <w:widowControl/>
      <w:spacing w:after="160" w:line="240" w:lineRule="exact"/>
      <w:jc w:val="left"/>
    </w:pPr>
    <w:rPr>
      <w:szCs w:val="20"/>
    </w:rPr>
  </w:style>
  <w:style w:type="paragraph" w:customStyle="1" w:styleId="217">
    <w:name w:val="正文缩进2"/>
    <w:basedOn w:val="1"/>
    <w:qFormat/>
    <w:uiPriority w:val="0"/>
    <w:pPr>
      <w:ind w:firstLine="420" w:firstLineChars="200"/>
    </w:pPr>
  </w:style>
  <w:style w:type="paragraph" w:customStyle="1" w:styleId="218">
    <w:name w:val="注释标题1"/>
    <w:basedOn w:val="1"/>
    <w:next w:val="1"/>
    <w:qFormat/>
    <w:uiPriority w:val="0"/>
    <w:pPr>
      <w:jc w:val="center"/>
    </w:pPr>
    <w:rPr>
      <w:rFonts w:ascii="宋体"/>
      <w:szCs w:val="21"/>
    </w:rPr>
  </w:style>
  <w:style w:type="paragraph" w:customStyle="1" w:styleId="219">
    <w:name w:val="正文缩进3"/>
    <w:basedOn w:val="1"/>
    <w:qFormat/>
    <w:uiPriority w:val="0"/>
    <w:pPr>
      <w:ind w:firstLine="420" w:firstLineChars="200"/>
    </w:pPr>
  </w:style>
  <w:style w:type="paragraph" w:customStyle="1" w:styleId="220">
    <w:name w:val="批注主题1"/>
    <w:basedOn w:val="18"/>
    <w:next w:val="18"/>
    <w:qFormat/>
    <w:uiPriority w:val="0"/>
    <w:rPr>
      <w:b/>
      <w:bCs/>
    </w:rPr>
  </w:style>
  <w:style w:type="paragraph" w:customStyle="1" w:styleId="221">
    <w:name w:val="正文缩进4"/>
    <w:basedOn w:val="1"/>
    <w:qFormat/>
    <w:uiPriority w:val="0"/>
    <w:pPr>
      <w:ind w:firstLine="420" w:firstLineChars="200"/>
    </w:pPr>
  </w:style>
  <w:style w:type="paragraph" w:customStyle="1" w:styleId="222">
    <w:name w:val="Char Char4"/>
    <w:basedOn w:val="1"/>
    <w:semiHidden/>
    <w:qFormat/>
    <w:uiPriority w:val="0"/>
    <w:pPr>
      <w:spacing w:line="360" w:lineRule="auto"/>
    </w:pPr>
    <w:rPr>
      <w:sz w:val="24"/>
    </w:rPr>
  </w:style>
  <w:style w:type="character" w:customStyle="1" w:styleId="223">
    <w:name w:val="标题 1 字符"/>
    <w:link w:val="3"/>
    <w:qFormat/>
    <w:uiPriority w:val="0"/>
    <w:rPr>
      <w:kern w:val="2"/>
      <w:sz w:val="28"/>
    </w:rPr>
  </w:style>
  <w:style w:type="character" w:customStyle="1" w:styleId="224">
    <w:name w:val="正文缩进 字符"/>
    <w:link w:val="5"/>
    <w:qFormat/>
    <w:locked/>
    <w:uiPriority w:val="0"/>
    <w:rPr>
      <w:kern w:val="2"/>
      <w:sz w:val="21"/>
      <w:szCs w:val="24"/>
    </w:rPr>
  </w:style>
  <w:style w:type="character" w:customStyle="1" w:styleId="225">
    <w:name w:val="标题 5 字符"/>
    <w:link w:val="8"/>
    <w:qFormat/>
    <w:uiPriority w:val="0"/>
    <w:rPr>
      <w:rFonts w:eastAsia="黑体"/>
      <w:bCs/>
      <w:sz w:val="28"/>
      <w:szCs w:val="28"/>
    </w:rPr>
  </w:style>
  <w:style w:type="character" w:customStyle="1" w:styleId="226">
    <w:name w:val="标题 6 字符"/>
    <w:link w:val="9"/>
    <w:qFormat/>
    <w:uiPriority w:val="0"/>
    <w:rPr>
      <w:rFonts w:eastAsia="黑体"/>
      <w:bCs/>
      <w:sz w:val="28"/>
      <w:szCs w:val="28"/>
    </w:rPr>
  </w:style>
  <w:style w:type="character" w:customStyle="1" w:styleId="227">
    <w:name w:val="标题 8 字符"/>
    <w:link w:val="11"/>
    <w:qFormat/>
    <w:uiPriority w:val="0"/>
    <w:rPr>
      <w:rFonts w:eastAsia="黑体"/>
      <w:sz w:val="28"/>
      <w:szCs w:val="28"/>
    </w:rPr>
  </w:style>
  <w:style w:type="character" w:customStyle="1" w:styleId="228">
    <w:name w:val="标题 9 字符"/>
    <w:link w:val="12"/>
    <w:qFormat/>
    <w:uiPriority w:val="0"/>
    <w:rPr>
      <w:kern w:val="2"/>
      <w:sz w:val="24"/>
      <w:szCs w:val="28"/>
    </w:rPr>
  </w:style>
  <w:style w:type="character" w:customStyle="1" w:styleId="229">
    <w:name w:val="页眉 字符"/>
    <w:link w:val="36"/>
    <w:qFormat/>
    <w:uiPriority w:val="0"/>
    <w:rPr>
      <w:kern w:val="2"/>
      <w:sz w:val="18"/>
      <w:szCs w:val="18"/>
    </w:rPr>
  </w:style>
  <w:style w:type="character" w:customStyle="1" w:styleId="230">
    <w:name w:val="页脚 字符"/>
    <w:link w:val="35"/>
    <w:qFormat/>
    <w:uiPriority w:val="0"/>
    <w:rPr>
      <w:kern w:val="2"/>
      <w:sz w:val="18"/>
      <w:szCs w:val="18"/>
    </w:rPr>
  </w:style>
  <w:style w:type="character" w:customStyle="1" w:styleId="231">
    <w:name w:val="纯文本 字符"/>
    <w:link w:val="29"/>
    <w:qFormat/>
    <w:uiPriority w:val="0"/>
    <w:rPr>
      <w:rFonts w:ascii="宋体" w:hAnsi="Courier New"/>
      <w:kern w:val="2"/>
      <w:sz w:val="21"/>
    </w:rPr>
  </w:style>
  <w:style w:type="character" w:customStyle="1" w:styleId="232">
    <w:name w:val="正文文本 字符"/>
    <w:link w:val="22"/>
    <w:qFormat/>
    <w:uiPriority w:val="0"/>
    <w:rPr>
      <w:kern w:val="2"/>
      <w:sz w:val="21"/>
      <w:szCs w:val="24"/>
    </w:rPr>
  </w:style>
  <w:style w:type="character" w:customStyle="1" w:styleId="233">
    <w:name w:val="表内5 Char"/>
    <w:link w:val="75"/>
    <w:qFormat/>
    <w:uiPriority w:val="0"/>
    <w:rPr>
      <w:rFonts w:ascii="宋体" w:hAnsi="宋体" w:eastAsia="宋体"/>
      <w:sz w:val="21"/>
      <w:szCs w:val="21"/>
      <w:lang w:val="en-US" w:eastAsia="zh-CN" w:bidi="ar-SA"/>
    </w:rPr>
  </w:style>
  <w:style w:type="character" w:customStyle="1" w:styleId="234">
    <w:name w:val="燕山正文 Char"/>
    <w:link w:val="76"/>
    <w:qFormat/>
    <w:uiPriority w:val="0"/>
    <w:rPr>
      <w:rFonts w:ascii="宋体" w:hAnsi="宋体" w:eastAsia="宋体"/>
      <w:color w:val="000000"/>
      <w:kern w:val="2"/>
      <w:sz w:val="28"/>
      <w:szCs w:val="28"/>
      <w:lang w:val="en-US" w:eastAsia="zh-CN" w:bidi="ar-SA"/>
    </w:rPr>
  </w:style>
  <w:style w:type="character" w:customStyle="1" w:styleId="235">
    <w:name w:val="节下项目标题 Char"/>
    <w:link w:val="79"/>
    <w:qFormat/>
    <w:uiPriority w:val="0"/>
    <w:rPr>
      <w:rFonts w:ascii="宋体" w:hAnsi="宋体" w:eastAsia="黑体"/>
      <w:b/>
      <w:kern w:val="2"/>
      <w:sz w:val="28"/>
      <w:szCs w:val="24"/>
      <w:lang w:val="en-US" w:eastAsia="zh-CN" w:bidi="ar-SA"/>
    </w:rPr>
  </w:style>
  <w:style w:type="character" w:customStyle="1" w:styleId="236">
    <w:name w:val="表格标题 Char"/>
    <w:link w:val="81"/>
    <w:qFormat/>
    <w:uiPriority w:val="0"/>
    <w:rPr>
      <w:rFonts w:ascii="宋体" w:hAnsi="宋体" w:eastAsia="宋体"/>
      <w:spacing w:val="20"/>
      <w:kern w:val="2"/>
      <w:sz w:val="24"/>
      <w:lang w:val="en-US" w:eastAsia="zh-CN" w:bidi="ar-SA"/>
    </w:rPr>
  </w:style>
  <w:style w:type="character" w:customStyle="1" w:styleId="237">
    <w:name w:val="批注框文本 字符"/>
    <w:link w:val="34"/>
    <w:qFormat/>
    <w:uiPriority w:val="0"/>
    <w:rPr>
      <w:kern w:val="2"/>
      <w:sz w:val="18"/>
      <w:szCs w:val="18"/>
    </w:rPr>
  </w:style>
  <w:style w:type="character" w:customStyle="1" w:styleId="238">
    <w:name w:val="已访问的超链接1"/>
    <w:qFormat/>
    <w:uiPriority w:val="0"/>
    <w:rPr>
      <w:color w:val="800080"/>
      <w:u w:val="single"/>
    </w:rPr>
  </w:style>
  <w:style w:type="character" w:customStyle="1" w:styleId="239">
    <w:name w:val="p11"/>
    <w:qFormat/>
    <w:uiPriority w:val="0"/>
    <w:rPr>
      <w:sz w:val="18"/>
      <w:szCs w:val="18"/>
    </w:rPr>
  </w:style>
  <w:style w:type="character" w:customStyle="1" w:styleId="240">
    <w:name w:val="注释标题 字符"/>
    <w:link w:val="14"/>
    <w:qFormat/>
    <w:uiPriority w:val="0"/>
    <w:rPr>
      <w:rFonts w:ascii="宋体" w:cs="宋体"/>
      <w:kern w:val="2"/>
      <w:sz w:val="21"/>
      <w:szCs w:val="21"/>
    </w:rPr>
  </w:style>
  <w:style w:type="character" w:customStyle="1" w:styleId="241">
    <w:name w:val="参考文献 黑体 小三 SL CON"/>
    <w:qFormat/>
    <w:uiPriority w:val="0"/>
    <w:rPr>
      <w:rFonts w:ascii="黑体" w:hAnsi="黑体" w:eastAsia="黑体"/>
      <w:sz w:val="30"/>
    </w:rPr>
  </w:style>
  <w:style w:type="character" w:customStyle="1" w:styleId="242">
    <w:name w:val="公式书写 居中 段前: 6 磅 段后: 6 磅 SL CON Char"/>
    <w:link w:val="105"/>
    <w:qFormat/>
    <w:uiPriority w:val="0"/>
    <w:rPr>
      <w:rFonts w:ascii="宋体" w:cs="宋体"/>
      <w:sz w:val="24"/>
    </w:rPr>
  </w:style>
  <w:style w:type="character" w:customStyle="1" w:styleId="243">
    <w:name w:val="公式书写（编号） 居中 段前: 6 磅 段后: 6 磅 SL CON + (符号) 宋体 Char"/>
    <w:link w:val="106"/>
    <w:qFormat/>
    <w:uiPriority w:val="0"/>
  </w:style>
  <w:style w:type="character" w:customStyle="1" w:styleId="244">
    <w:name w:val="style121"/>
    <w:qFormat/>
    <w:uiPriority w:val="0"/>
    <w:rPr>
      <w:rFonts w:hint="default" w:ascii="Arial" w:hAnsi="Arial" w:cs="Arial"/>
      <w:color w:val="333333"/>
      <w:sz w:val="23"/>
      <w:szCs w:val="23"/>
    </w:rPr>
  </w:style>
  <w:style w:type="character" w:customStyle="1" w:styleId="245">
    <w:name w:val="批注文字 字符"/>
    <w:link w:val="18"/>
    <w:qFormat/>
    <w:uiPriority w:val="0"/>
    <w:rPr>
      <w:rFonts w:ascii="宋体"/>
      <w:sz w:val="24"/>
      <w:szCs w:val="24"/>
    </w:rPr>
  </w:style>
  <w:style w:type="character" w:customStyle="1" w:styleId="246">
    <w:name w:val="批注主题 字符"/>
    <w:link w:val="50"/>
    <w:qFormat/>
    <w:uiPriority w:val="0"/>
    <w:rPr>
      <w:rFonts w:ascii="宋体"/>
      <w:b/>
      <w:bCs/>
      <w:sz w:val="24"/>
      <w:szCs w:val="24"/>
    </w:rPr>
  </w:style>
  <w:style w:type="character" w:customStyle="1" w:styleId="247">
    <w:name w:val="apple-style-span"/>
    <w:basedOn w:val="54"/>
    <w:qFormat/>
    <w:uiPriority w:val="0"/>
  </w:style>
  <w:style w:type="character" w:customStyle="1" w:styleId="248">
    <w:name w:val="纯文本 Char1"/>
    <w:qFormat/>
    <w:uiPriority w:val="0"/>
    <w:rPr>
      <w:rFonts w:ascii="宋体" w:hAnsi="Courier New"/>
      <w:kern w:val="2"/>
      <w:sz w:val="21"/>
    </w:rPr>
  </w:style>
  <w:style w:type="character" w:customStyle="1" w:styleId="249">
    <w:name w:val="Job"/>
    <w:basedOn w:val="54"/>
    <w:qFormat/>
    <w:uiPriority w:val="0"/>
  </w:style>
  <w:style w:type="character" w:customStyle="1" w:styleId="250">
    <w:name w:val="Lead-in Emphasis"/>
    <w:qFormat/>
    <w:uiPriority w:val="0"/>
    <w:rPr>
      <w:rFonts w:ascii="Arial" w:hAnsi="Arial"/>
      <w:b/>
      <w:spacing w:val="-8"/>
      <w:sz w:val="18"/>
    </w:rPr>
  </w:style>
  <w:style w:type="character" w:customStyle="1" w:styleId="251">
    <w:name w:val="label1"/>
    <w:basedOn w:val="54"/>
    <w:qFormat/>
    <w:uiPriority w:val="0"/>
  </w:style>
  <w:style w:type="character" w:customStyle="1" w:styleId="252">
    <w:name w:val="zw1"/>
    <w:qFormat/>
    <w:uiPriority w:val="0"/>
    <w:rPr>
      <w:rFonts w:hint="eastAsia" w:ascii="宋体" w:hAnsi="宋体" w:eastAsia="宋体"/>
      <w:sz w:val="22"/>
      <w:szCs w:val="22"/>
    </w:rPr>
  </w:style>
  <w:style w:type="character" w:customStyle="1" w:styleId="253">
    <w:name w:val="zw"/>
    <w:basedOn w:val="54"/>
    <w:qFormat/>
    <w:uiPriority w:val="0"/>
  </w:style>
  <w:style w:type="character" w:customStyle="1" w:styleId="254">
    <w:name w:val="bt21"/>
    <w:qFormat/>
    <w:uiPriority w:val="0"/>
    <w:rPr>
      <w:rFonts w:hint="eastAsia" w:ascii="黑体" w:eastAsia="黑体"/>
      <w:sz w:val="24"/>
      <w:szCs w:val="24"/>
    </w:rPr>
  </w:style>
  <w:style w:type="character" w:customStyle="1" w:styleId="255">
    <w:name w:val="newsitemtext1"/>
    <w:qFormat/>
    <w:uiPriority w:val="0"/>
    <w:rPr>
      <w:color w:val="000000"/>
      <w:sz w:val="28"/>
      <w:szCs w:val="28"/>
    </w:rPr>
  </w:style>
  <w:style w:type="character" w:customStyle="1" w:styleId="256">
    <w:name w:val="text1"/>
    <w:basedOn w:val="54"/>
    <w:qFormat/>
    <w:uiPriority w:val="0"/>
  </w:style>
  <w:style w:type="character" w:customStyle="1" w:styleId="257">
    <w:name w:val="style21"/>
    <w:qFormat/>
    <w:uiPriority w:val="0"/>
    <w:rPr>
      <w:b/>
      <w:bCs/>
      <w:sz w:val="27"/>
      <w:szCs w:val="27"/>
    </w:rPr>
  </w:style>
  <w:style w:type="character" w:customStyle="1" w:styleId="258">
    <w:name w:val="jian1"/>
    <w:basedOn w:val="54"/>
    <w:qFormat/>
    <w:uiPriority w:val="0"/>
  </w:style>
  <w:style w:type="paragraph" w:styleId="259">
    <w:name w:val="List Paragraph"/>
    <w:basedOn w:val="1"/>
    <w:link w:val="268"/>
    <w:qFormat/>
    <w:uiPriority w:val="34"/>
    <w:pPr>
      <w:ind w:firstLine="420" w:firstLineChars="200"/>
    </w:pPr>
    <w:rPr>
      <w:szCs w:val="20"/>
    </w:rPr>
  </w:style>
  <w:style w:type="paragraph" w:customStyle="1" w:styleId="260">
    <w:name w:val="列出段落2"/>
    <w:basedOn w:val="1"/>
    <w:qFormat/>
    <w:uiPriority w:val="34"/>
    <w:pPr>
      <w:ind w:firstLine="420" w:firstLineChars="200"/>
    </w:pPr>
    <w:rPr>
      <w:szCs w:val="20"/>
    </w:rPr>
  </w:style>
  <w:style w:type="character" w:customStyle="1" w:styleId="261">
    <w:name w:val="font01"/>
    <w:qFormat/>
    <w:uiPriority w:val="0"/>
    <w:rPr>
      <w:rFonts w:hint="eastAsia" w:ascii="宋体" w:hAnsi="宋体" w:eastAsia="宋体" w:cs="宋体"/>
      <w:color w:val="000000"/>
      <w:sz w:val="20"/>
      <w:szCs w:val="20"/>
      <w:u w:val="none"/>
    </w:rPr>
  </w:style>
  <w:style w:type="paragraph" w:customStyle="1" w:styleId="262">
    <w:name w:val="Char Char Char Char Char"/>
    <w:basedOn w:val="1"/>
    <w:qFormat/>
    <w:uiPriority w:val="0"/>
  </w:style>
  <w:style w:type="character" w:customStyle="1" w:styleId="263">
    <w:name w:val="Char Char1"/>
    <w:link w:val="65"/>
    <w:qFormat/>
    <w:uiPriority w:val="0"/>
    <w:rPr>
      <w:kern w:val="2"/>
      <w:sz w:val="24"/>
      <w:szCs w:val="24"/>
    </w:rPr>
  </w:style>
  <w:style w:type="paragraph" w:customStyle="1" w:styleId="264">
    <w:name w:val="正文缩进5"/>
    <w:basedOn w:val="1"/>
    <w:link w:val="265"/>
    <w:qFormat/>
    <w:uiPriority w:val="0"/>
    <w:pPr>
      <w:ind w:firstLine="420" w:firstLineChars="200"/>
    </w:pPr>
    <w:rPr>
      <w:lang w:val="zh-CN"/>
    </w:rPr>
  </w:style>
  <w:style w:type="character" w:customStyle="1" w:styleId="265">
    <w:name w:val="正文缩进 Char"/>
    <w:link w:val="264"/>
    <w:qFormat/>
    <w:uiPriority w:val="0"/>
    <w:rPr>
      <w:kern w:val="2"/>
      <w:sz w:val="21"/>
      <w:szCs w:val="24"/>
      <w:lang w:val="zh-CN" w:eastAsia="zh-CN"/>
    </w:rPr>
  </w:style>
  <w:style w:type="paragraph" w:customStyle="1" w:styleId="266">
    <w:name w:val="p0"/>
    <w:basedOn w:val="1"/>
    <w:qFormat/>
    <w:uiPriority w:val="0"/>
    <w:pPr>
      <w:widowControl/>
    </w:pPr>
    <w:rPr>
      <w:rFonts w:ascii="Calibri" w:hAnsi="Calibri" w:cs="Calibri"/>
      <w:kern w:val="0"/>
      <w:szCs w:val="21"/>
    </w:rPr>
  </w:style>
  <w:style w:type="paragraph" w:customStyle="1" w:styleId="267">
    <w:name w:val="p16"/>
    <w:basedOn w:val="1"/>
    <w:qFormat/>
    <w:uiPriority w:val="0"/>
    <w:pPr>
      <w:widowControl/>
      <w:jc w:val="center"/>
    </w:pPr>
    <w:rPr>
      <w:rFonts w:ascii="宋体" w:hAnsi="宋体" w:cs="宋体"/>
      <w:kern w:val="0"/>
      <w:szCs w:val="21"/>
    </w:rPr>
  </w:style>
  <w:style w:type="character" w:customStyle="1" w:styleId="268">
    <w:name w:val="列表段落 字符"/>
    <w:link w:val="259"/>
    <w:qFormat/>
    <w:uiPriority w:val="34"/>
    <w:rPr>
      <w:kern w:val="2"/>
      <w:sz w:val="21"/>
    </w:rPr>
  </w:style>
  <w:style w:type="paragraph" w:customStyle="1" w:styleId="26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table" w:customStyle="1" w:styleId="270">
    <w:name w:val="网格型1"/>
    <w:basedOn w:val="5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1">
    <w:name w:val="Table Paragraph"/>
    <w:basedOn w:val="1"/>
    <w:unhideWhenUsed/>
    <w:qFormat/>
    <w:uiPriority w:val="1"/>
    <w:pPr>
      <w:spacing w:beforeLines="0" w:afterLines="0"/>
    </w:pPr>
    <w:rPr>
      <w:rFonts w:hint="default"/>
      <w:sz w:val="24"/>
      <w:szCs w:val="24"/>
    </w:rPr>
  </w:style>
  <w:style w:type="paragraph" w:customStyle="1" w:styleId="272">
    <w:name w:val="00内容正文"/>
    <w:basedOn w:val="1"/>
    <w:qFormat/>
    <w:uiPriority w:val="0"/>
    <w:pPr>
      <w:spacing w:line="400" w:lineRule="exact"/>
      <w:ind w:firstLine="480" w:firstLineChars="200"/>
      <w:jc w:val="left"/>
    </w:pPr>
    <w:rPr>
      <w:rFonts w:hAnsi="宋体"/>
      <w:kern w:val="0"/>
      <w:sz w:val="24"/>
      <w:szCs w:val="24"/>
    </w:rPr>
  </w:style>
  <w:style w:type="paragraph" w:customStyle="1" w:styleId="273">
    <w:name w:val="00表格正文"/>
    <w:basedOn w:val="1"/>
    <w:qFormat/>
    <w:uiPriority w:val="0"/>
    <w:pPr>
      <w:adjustRightInd w:val="0"/>
      <w:snapToGrid w:val="0"/>
      <w:jc w:val="center"/>
    </w:pPr>
    <w:rPr>
      <w:kern w:val="0"/>
      <w:sz w:val="20"/>
    </w:rPr>
  </w:style>
  <w:style w:type="character" w:customStyle="1" w:styleId="274">
    <w:name w:val="font11"/>
    <w:basedOn w:val="5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jpe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jpe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800D7E-FFE7-49F9-ACF1-560430CB60D7}">
  <ds:schemaRefs/>
</ds:datastoreItem>
</file>

<file path=docProps/app.xml><?xml version="1.0" encoding="utf-8"?>
<Properties xmlns="http://schemas.openxmlformats.org/officeDocument/2006/extended-properties" xmlns:vt="http://schemas.openxmlformats.org/officeDocument/2006/docPropsVTypes">
  <Template>Normal.dotm</Template>
  <Company>sdip.com</Company>
  <Pages>308</Pages>
  <Words>71904</Words>
  <Characters>91300</Characters>
  <Lines>426</Lines>
  <Paragraphs>119</Paragraphs>
  <TotalTime>1</TotalTime>
  <ScaleCrop>false</ScaleCrop>
  <LinksUpToDate>false</LinksUpToDate>
  <CharactersWithSpaces>92363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2019-01-24T01:24:00Z</dcterms:created>
  <dc:creator>User</dc:creator>
  <cp:lastModifiedBy>林更鹏</cp:lastModifiedBy>
  <cp:lastPrinted>2022-08-05T06:49:00Z</cp:lastPrinted>
  <dcterms:modified xsi:type="dcterms:W3CDTF">2022-09-02T01:15:28Z</dcterms:modified>
  <dc:title>前    言</dc:title>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6D4BA2D0ED6148FCA01CC3CE2DEB8623</vt:lpwstr>
  </property>
</Properties>
</file>