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outlineLvl w:val="0"/>
        <w:rPr>
          <w:rFonts w:ascii="宋体" w:hAnsi="宋体" w:eastAsia="宋体" w:cs="宋体"/>
          <w:b/>
          <w:sz w:val="44"/>
          <w:szCs w:val="44"/>
        </w:rPr>
      </w:pPr>
      <w:r>
        <w:rPr>
          <w:rFonts w:hint="eastAsia" w:ascii="宋体" w:hAnsi="宋体" w:eastAsia="宋体" w:cs="宋体"/>
          <w:b/>
          <w:sz w:val="44"/>
          <w:szCs w:val="44"/>
        </w:rPr>
        <w:t>其他需要说明的事项</w:t>
      </w:r>
    </w:p>
    <w:p>
      <w:pPr>
        <w:snapToGrid/>
        <w:spacing w:before="157" w:after="0" w:line="500" w:lineRule="exact"/>
        <w:rPr>
          <w:rFonts w:ascii="Times New Roman" w:hAnsi="Times New Roman" w:eastAsia="宋体"/>
          <w:b/>
          <w:bCs/>
          <w:sz w:val="36"/>
          <w:szCs w:val="36"/>
        </w:rPr>
      </w:pP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b/>
          <w:bCs/>
          <w:sz w:val="32"/>
          <w:szCs w:val="32"/>
        </w:rPr>
      </w:pPr>
      <w:r>
        <w:rPr>
          <w:rFonts w:ascii="Times New Roman" w:hAnsi="Times New Roman" w:eastAsia="宋体"/>
          <w:b/>
          <w:bCs/>
          <w:sz w:val="32"/>
          <w:szCs w:val="32"/>
        </w:rPr>
        <w:t>1环境保护设施设计、施工和验收过程简况</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sz w:val="28"/>
          <w:szCs w:val="28"/>
        </w:rPr>
      </w:pPr>
      <w:r>
        <w:rPr>
          <w:rFonts w:hint="eastAsia" w:ascii="Times New Roman" w:hAnsi="Times New Roman" w:eastAsia="宋体"/>
          <w:b/>
          <w:bCs/>
          <w:sz w:val="28"/>
          <w:szCs w:val="28"/>
        </w:rPr>
        <w:t>1.1设计简况</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本项目环境保护设施的设计在可行性研究报告中和初步设计时均有考虑。根据本项目特点，主要工程是本项目实际</w:t>
      </w:r>
      <w:r>
        <w:rPr>
          <w:rFonts w:hint="default" w:ascii="Times New Roman" w:hAnsi="Times New Roman" w:eastAsia="宋体" w:cs="Times New Roman"/>
          <w:sz w:val="24"/>
        </w:rPr>
        <w:t>新建2台1400kW燃气热水锅炉及配套设施；新建站外（广饶分输站至现河2号接转站）热力供水管线1.7km，热力回水管线1.7km，共3.4km，清水管线1.7km，3条管线并行且均埋地敷设</w:t>
      </w:r>
      <w:r>
        <w:rPr>
          <w:rFonts w:hint="default" w:ascii="Times New Roman" w:hAnsi="Times New Roman" w:eastAsia="宋体" w:cs="Times New Roman"/>
          <w:sz w:val="24"/>
          <w:lang w:eastAsia="zh-CN"/>
        </w:rPr>
        <w:t>；</w:t>
      </w:r>
      <w:r>
        <w:rPr>
          <w:rFonts w:hint="default" w:ascii="Times New Roman" w:hAnsi="Times New Roman" w:eastAsia="宋体" w:cs="Times New Roman"/>
          <w:sz w:val="24"/>
          <w:lang w:val="en-US" w:eastAsia="zh-CN"/>
        </w:rPr>
        <w:t>广饶分输站内新建100m</w:t>
      </w:r>
      <w:r>
        <w:rPr>
          <w:rFonts w:hint="default" w:ascii="Times New Roman" w:hAnsi="Times New Roman" w:eastAsia="宋体" w:cs="Times New Roman"/>
          <w:sz w:val="24"/>
          <w:vertAlign w:val="superscript"/>
          <w:lang w:val="en-US" w:eastAsia="zh-CN"/>
        </w:rPr>
        <w:t>2</w:t>
      </w:r>
      <w:r>
        <w:rPr>
          <w:rFonts w:hint="default" w:ascii="Times New Roman" w:hAnsi="Times New Roman" w:eastAsia="宋体" w:cs="Times New Roman"/>
          <w:sz w:val="24"/>
          <w:lang w:val="en-US" w:eastAsia="zh-CN"/>
        </w:rPr>
        <w:t>管壳式换热器2台，加热管线0.2km（用于来气换热）</w:t>
      </w:r>
      <w:r>
        <w:rPr>
          <w:rFonts w:hint="default" w:ascii="Times New Roman" w:hAnsi="Times New Roman" w:eastAsia="宋体" w:cs="Times New Roman"/>
          <w:sz w:val="24"/>
        </w:rPr>
        <w:t>。</w:t>
      </w:r>
      <w:r>
        <w:rPr>
          <w:rFonts w:hint="default" w:ascii="Times New Roman" w:hAnsi="Times New Roman" w:eastAsia="宋体" w:cs="Times New Roman"/>
          <w:color w:val="000000"/>
          <w:kern w:val="0"/>
          <w:sz w:val="24"/>
          <w:szCs w:val="24"/>
          <w:lang w:val="en-US" w:eastAsia="zh-CN" w:bidi="ar"/>
        </w:rPr>
        <w:t>实际总投资为426.53万元，实际环保投资为17.5万元。</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eastAsia" w:ascii="Times New Roman" w:hAnsi="Times New Roman" w:eastAsia="宋体"/>
          <w:b/>
          <w:bCs/>
          <w:sz w:val="28"/>
          <w:szCs w:val="28"/>
          <w:lang w:val="en-US" w:eastAsia="zh-CN"/>
        </w:rPr>
      </w:pPr>
      <w:r>
        <w:rPr>
          <w:rFonts w:ascii="Times New Roman" w:hAnsi="Times New Roman" w:eastAsia="宋体"/>
          <w:b/>
          <w:bCs/>
          <w:sz w:val="28"/>
          <w:szCs w:val="28"/>
        </w:rPr>
        <w:t>1.</w:t>
      </w:r>
      <w:r>
        <w:rPr>
          <w:rFonts w:hint="eastAsia" w:ascii="Times New Roman" w:hAnsi="Times New Roman" w:eastAsia="宋体"/>
          <w:b/>
          <w:bCs/>
          <w:sz w:val="28"/>
          <w:szCs w:val="28"/>
        </w:rPr>
        <w:t>2</w:t>
      </w:r>
      <w:r>
        <w:rPr>
          <w:rFonts w:hint="eastAsia" w:ascii="Times New Roman" w:hAnsi="Times New Roman" w:eastAsia="宋体"/>
          <w:b/>
          <w:bCs/>
          <w:sz w:val="28"/>
          <w:szCs w:val="28"/>
          <w:lang w:val="en-US" w:eastAsia="zh-CN"/>
        </w:rPr>
        <w:t>施工简况</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000000"/>
          <w:kern w:val="0"/>
          <w:sz w:val="24"/>
          <w:szCs w:val="24"/>
          <w:lang w:val="en-US" w:eastAsia="zh-CN" w:bidi="ar"/>
        </w:rPr>
        <w:t>建设单位要求施工单位严格按照合同中要求，在确保环境保护设施的建设进度和资金的保障前提下，严格落实环境影响报告表及广环建审〔2018〕050号文中提出的生态保护工程和污染防治措施。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b/>
          <w:bCs/>
          <w:sz w:val="28"/>
          <w:szCs w:val="28"/>
        </w:rPr>
      </w:pPr>
      <w:r>
        <w:rPr>
          <w:rFonts w:hint="eastAsia" w:ascii="Times New Roman" w:hAnsi="Times New Roman" w:eastAsia="宋体"/>
          <w:b/>
          <w:bCs/>
          <w:sz w:val="28"/>
          <w:szCs w:val="28"/>
          <w:lang w:val="en-US" w:eastAsia="zh-CN"/>
        </w:rPr>
        <w:t>1.3</w:t>
      </w:r>
      <w:r>
        <w:rPr>
          <w:rFonts w:ascii="Times New Roman" w:hAnsi="Times New Roman" w:eastAsia="宋体"/>
          <w:b/>
          <w:bCs/>
          <w:sz w:val="28"/>
          <w:szCs w:val="28"/>
        </w:rPr>
        <w:t>验收过程简况</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2018年3月，胜利油田森诺胜利工程有限公司编制完成了《东辛线接广饶分输站天然气加热工程环境影响报告表》；</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2018年5月11日，广饶县环境保护局以广环建审〔2018〕050号文对该报告表进行批复；</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2018年6月05日，工程开工建设；</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2018年11月25日，工程竣工；</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根据国家有关法律法规的要求，中国石化胜利油田天然气销售有限公司于2018年12月3日委托东营市胜丰职业卫生检测评价有限责任公司（以下简称我公司）进行该项目的竣工环保验收调查工作，于2018年11月25日对该工程的竣工日期和调试起止日期进行了网上公示http://www.dysfpj.com/aspcms/news/2018-11-25/672.html；</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接受委托后，我公司成立了该项目的验收调查组，收集了项目环境影响报告表、报告表批复文件等有关的资料，派有关人员到项目开发区域进行了现场踏勘，在此基础上编制了环境影响调查方案；并于2018年12月进行了现场调查。根据调查结果，于2019年7月26日编制完成了《东辛线接广饶分输站天然气加热工程竣工环境保护设施验收调查报告》。</w:t>
      </w:r>
    </w:p>
    <w:p>
      <w:pPr>
        <w:pStyle w:val="2"/>
        <w:ind w:left="0" w:leftChars="0" w:firstLine="0" w:firstLineChars="0"/>
        <w:jc w:val="both"/>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宋体" w:cs="Times New Roman"/>
          <w:b/>
          <w:bCs/>
          <w:color w:val="000000"/>
          <w:kern w:val="0"/>
          <w:sz w:val="32"/>
          <w:szCs w:val="32"/>
          <w:lang w:val="en-US" w:eastAsia="zh-CN" w:bidi="ar"/>
        </w:rPr>
        <w:t>2信息公开和公众意见反馈</w:t>
      </w:r>
    </w:p>
    <w:p>
      <w:pPr>
        <w:pStyle w:val="2"/>
        <w:ind w:left="0" w:leftChars="0" w:firstLine="0" w:firstLineChars="0"/>
        <w:jc w:val="both"/>
        <w:rPr>
          <w:rFonts w:hint="eastAsia" w:ascii="Times New Roman" w:hAnsi="Times New Roman" w:eastAsia="宋体" w:cs="Times New Roman"/>
          <w:b/>
          <w:bCs/>
          <w:color w:val="000000"/>
          <w:kern w:val="0"/>
          <w:sz w:val="28"/>
          <w:szCs w:val="28"/>
          <w:lang w:val="en-US" w:eastAsia="zh-CN" w:bidi="ar"/>
        </w:rPr>
      </w:pPr>
      <w:r>
        <w:rPr>
          <w:rFonts w:hint="eastAsia" w:ascii="Times New Roman" w:hAnsi="Times New Roman" w:eastAsia="宋体" w:cs="Times New Roman"/>
          <w:b/>
          <w:bCs/>
          <w:color w:val="000000"/>
          <w:kern w:val="0"/>
          <w:sz w:val="28"/>
          <w:szCs w:val="28"/>
          <w:lang w:val="en-US" w:eastAsia="zh-CN" w:bidi="ar"/>
        </w:rPr>
        <w:t>2.1信息公开</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imes New Roman" w:hAnsi="Times New Roman" w:eastAsia="宋体" w:cs="Times New Roman"/>
          <w:b w:val="0"/>
          <w:bCs w:val="0"/>
          <w:color w:val="000000"/>
          <w:kern w:val="0"/>
          <w:sz w:val="24"/>
          <w:szCs w:val="24"/>
          <w:lang w:val="en-US" w:eastAsia="zh-CN" w:bidi="ar"/>
        </w:rPr>
      </w:pPr>
      <w:r>
        <w:rPr>
          <w:rFonts w:hint="eastAsia" w:ascii="Times New Roman" w:hAnsi="Times New Roman" w:eastAsia="宋体" w:cs="Times New Roman"/>
          <w:b w:val="0"/>
          <w:bCs w:val="0"/>
          <w:color w:val="000000"/>
          <w:kern w:val="0"/>
          <w:sz w:val="24"/>
          <w:szCs w:val="24"/>
          <w:lang w:val="en-US" w:eastAsia="zh-CN" w:bidi="ar"/>
        </w:rPr>
        <w:t>2018年11月25日，中国石化胜利油田天然气销售有限公司对该工程的竣工日期和调试起止日期进行了网上公示。</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eastAsia" w:ascii="Times New Roman" w:hAnsi="Times New Roman" w:eastAsia="宋体" w:cs="Times New Roman"/>
          <w:b/>
          <w:bCs/>
          <w:color w:val="000000"/>
          <w:kern w:val="0"/>
          <w:sz w:val="28"/>
          <w:szCs w:val="28"/>
          <w:lang w:val="en-US" w:eastAsia="zh-CN" w:bidi="ar"/>
        </w:rPr>
      </w:pPr>
      <w:r>
        <w:rPr>
          <w:rFonts w:hint="eastAsia" w:ascii="Times New Roman" w:hAnsi="Times New Roman" w:eastAsia="宋体" w:cs="Times New Roman"/>
          <w:b/>
          <w:bCs/>
          <w:color w:val="000000"/>
          <w:kern w:val="0"/>
          <w:sz w:val="28"/>
          <w:szCs w:val="28"/>
          <w:lang w:val="en-US" w:eastAsia="zh-CN" w:bidi="ar"/>
        </w:rPr>
        <w:t>2.2公众参与渠道</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根据本项目特点和实际建设情况，建设单位采用电话和网站回复的方式收集公众意见和建议。</w:t>
      </w:r>
    </w:p>
    <w:p>
      <w:pPr>
        <w:pStyle w:val="2"/>
        <w:ind w:left="0" w:leftChars="0" w:firstLine="0" w:firstLineChars="0"/>
        <w:jc w:val="both"/>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2.3公众意见处理</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建设单位承诺会严格记录公众反馈意见或投诉、收到时间、渠道以及反馈或投诉的内容，并及时处理或解决公众意见，给出采纳与否的情况说明。</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b/>
          <w:bCs/>
          <w:sz w:val="28"/>
          <w:szCs w:val="28"/>
          <w:lang w:val="en-US" w:eastAsia="zh-CN"/>
        </w:rPr>
      </w:pPr>
      <w:r>
        <w:rPr>
          <w:rFonts w:hint="eastAsia" w:ascii="宋体" w:hAnsi="宋体" w:eastAsia="宋体" w:cs="宋体"/>
          <w:color w:val="000000"/>
          <w:kern w:val="0"/>
          <w:sz w:val="24"/>
          <w:szCs w:val="24"/>
          <w:lang w:val="en-US" w:eastAsia="zh-CN" w:bidi="ar"/>
        </w:rPr>
        <w:t>本项目建设过程、验收调查期间未收到公众意见或投诉，表明公众支持该项目的建设和运营。</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b/>
          <w:bCs/>
          <w:sz w:val="32"/>
          <w:szCs w:val="32"/>
        </w:rPr>
      </w:pPr>
      <w:r>
        <w:rPr>
          <w:rFonts w:hint="eastAsia" w:ascii="Times New Roman" w:hAnsi="Times New Roman" w:eastAsia="宋体"/>
          <w:b/>
          <w:bCs/>
          <w:sz w:val="32"/>
          <w:szCs w:val="32"/>
          <w:lang w:val="en-US" w:eastAsia="zh-CN"/>
        </w:rPr>
        <w:t>3</w:t>
      </w:r>
      <w:r>
        <w:rPr>
          <w:rFonts w:ascii="Times New Roman" w:hAnsi="Times New Roman" w:eastAsia="宋体"/>
          <w:b/>
          <w:bCs/>
          <w:sz w:val="32"/>
          <w:szCs w:val="32"/>
        </w:rPr>
        <w:t>其他环境保护措施的落实情况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b/>
          <w:bCs/>
          <w:sz w:val="28"/>
          <w:szCs w:val="28"/>
        </w:rPr>
      </w:pPr>
      <w:r>
        <w:rPr>
          <w:rFonts w:hint="eastAsia" w:ascii="Times New Roman" w:hAnsi="Times New Roman" w:eastAsia="宋体"/>
          <w:b/>
          <w:bCs/>
          <w:sz w:val="28"/>
          <w:szCs w:val="28"/>
          <w:lang w:val="en-US" w:eastAsia="zh-CN"/>
        </w:rPr>
        <w:t>3</w:t>
      </w:r>
      <w:r>
        <w:rPr>
          <w:rFonts w:ascii="Times New Roman" w:hAnsi="Times New Roman" w:eastAsia="宋体"/>
          <w:b/>
          <w:bCs/>
          <w:sz w:val="28"/>
          <w:szCs w:val="28"/>
        </w:rPr>
        <w:t>.1制度措施落实情况</w:t>
      </w:r>
    </w:p>
    <w:p>
      <w:pPr>
        <w:keepNext w:val="0"/>
        <w:keepLines w:val="0"/>
        <w:pageBreakBefore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b w:val="0"/>
          <w:bCs w:val="0"/>
          <w:sz w:val="24"/>
          <w:szCs w:val="24"/>
          <w:lang w:val="en-US" w:eastAsia="zh-CN"/>
        </w:rPr>
      </w:pPr>
      <w:r>
        <w:rPr>
          <w:rFonts w:hint="eastAsia" w:ascii="Times New Roman" w:hAnsi="Times New Roman" w:eastAsia="宋体"/>
          <w:b w:val="0"/>
          <w:bCs w:val="0"/>
          <w:sz w:val="24"/>
          <w:szCs w:val="24"/>
          <w:lang w:val="en-US" w:eastAsia="zh-CN"/>
        </w:rPr>
        <w:t>3.1.1制度措施落实情况</w:t>
      </w:r>
    </w:p>
    <w:p>
      <w:pPr>
        <w:keepNext w:val="0"/>
        <w:keepLines w:val="0"/>
        <w:pageBreakBefore w:val="0"/>
        <w:kinsoku/>
        <w:wordWrap/>
        <w:overflowPunct/>
        <w:topLinePunct w:val="0"/>
        <w:autoSpaceDE/>
        <w:autoSpaceDN/>
        <w:bidi w:val="0"/>
        <w:adjustRightInd w:val="0"/>
        <w:snapToGrid w:val="0"/>
        <w:spacing w:after="0" w:line="360" w:lineRule="auto"/>
        <w:ind w:firstLine="480" w:firstLineChars="200"/>
        <w:jc w:val="both"/>
        <w:textAlignment w:val="auto"/>
        <w:rPr>
          <w:rFonts w:ascii="Times New Roman" w:hAnsi="Times New Roman" w:eastAsia="宋体"/>
          <w:b w:val="0"/>
          <w:bCs w:val="0"/>
          <w:sz w:val="24"/>
          <w:szCs w:val="24"/>
        </w:rPr>
      </w:pPr>
      <w:r>
        <w:rPr>
          <w:rFonts w:hint="eastAsia" w:ascii="Times New Roman" w:hAnsi="Times New Roman" w:eastAsia="宋体"/>
          <w:b w:val="0"/>
          <w:bCs w:val="0"/>
          <w:sz w:val="24"/>
          <w:szCs w:val="24"/>
          <w:lang w:val="en-US" w:eastAsia="zh-CN"/>
        </w:rPr>
        <w:t>1、</w:t>
      </w:r>
      <w:r>
        <w:rPr>
          <w:rFonts w:ascii="Times New Roman" w:hAnsi="Times New Roman" w:eastAsia="宋体"/>
          <w:b w:val="0"/>
          <w:bCs w:val="0"/>
          <w:sz w:val="24"/>
          <w:szCs w:val="24"/>
        </w:rPr>
        <w:t>环保组织机构</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color w:val="000000"/>
          <w:sz w:val="24"/>
        </w:rPr>
      </w:pPr>
      <w:r>
        <w:rPr>
          <w:rFonts w:hint="eastAsia" w:ascii="宋体" w:hAnsi="宋体" w:eastAsia="宋体" w:cs="宋体"/>
          <w:color w:val="000000"/>
          <w:sz w:val="24"/>
        </w:rPr>
        <w:t>按照各级环保部门要求，</w:t>
      </w:r>
      <w:r>
        <w:rPr>
          <w:rFonts w:hint="eastAsia" w:ascii="宋体" w:hAnsi="宋体" w:eastAsia="宋体" w:cs="宋体"/>
          <w:color w:val="000000"/>
          <w:sz w:val="24"/>
          <w:lang w:val="en-US" w:eastAsia="zh-CN"/>
        </w:rPr>
        <w:t>中国石化胜利油田天然气销售有限公司</w:t>
      </w:r>
      <w:r>
        <w:rPr>
          <w:rFonts w:hint="eastAsia" w:ascii="宋体" w:hAnsi="宋体" w:eastAsia="宋体" w:cs="宋体"/>
          <w:color w:val="000000"/>
          <w:sz w:val="24"/>
        </w:rPr>
        <w:t>认真落实环境保护工作责任制，完善环保制度，建有专门的环境保护机构</w:t>
      </w:r>
      <w:r>
        <w:rPr>
          <w:rFonts w:hint="eastAsia" w:ascii="宋体" w:hAnsi="宋体" w:eastAsia="宋体" w:cs="宋体"/>
          <w:color w:val="000000"/>
          <w:sz w:val="24"/>
          <w:lang w:val="en-US" w:eastAsia="zh-CN"/>
        </w:rPr>
        <w:t>HSE管理委员会，在环保组织机构及职责、环保技术监督、环境监测、技术管理、环保设施运行管理等方面进行了详细的规定。各环保设施岗位运行情况均建立了有关记录且妥善保存，将环保管理具体责任落实到人</w:t>
      </w:r>
      <w:r>
        <w:rPr>
          <w:rFonts w:hint="eastAsia" w:ascii="宋体" w:hAnsi="宋体" w:eastAsia="宋体" w:cs="宋体"/>
          <w:color w:val="000000"/>
          <w:sz w:val="24"/>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color w:val="000000"/>
          <w:sz w:val="24"/>
        </w:rPr>
      </w:pPr>
      <w:r>
        <w:rPr>
          <w:rFonts w:hint="eastAsia" w:ascii="宋体" w:hAnsi="宋体" w:eastAsia="宋体" w:cs="宋体"/>
          <w:color w:val="000000"/>
          <w:sz w:val="24"/>
        </w:rPr>
        <w:t>为了贯彻和执行各项环保法规，落实可行性研究报告、环境影响报告表及批复中的环保措施，结合该项目的运行实际情况，建立一系列管理制度。</w:t>
      </w:r>
    </w:p>
    <w:p>
      <w:pPr>
        <w:keepNext w:val="0"/>
        <w:keepLines w:val="0"/>
        <w:pageBreakBefore w:val="0"/>
        <w:kinsoku/>
        <w:wordWrap/>
        <w:overflowPunct/>
        <w:topLinePunct w:val="0"/>
        <w:autoSpaceDE/>
        <w:autoSpaceDN/>
        <w:bidi w:val="0"/>
        <w:adjustRightInd w:val="0"/>
        <w:snapToGrid w:val="0"/>
        <w:spacing w:after="0" w:line="360" w:lineRule="auto"/>
        <w:ind w:firstLine="480" w:firstLineChars="200"/>
        <w:jc w:val="both"/>
        <w:textAlignment w:val="auto"/>
        <w:rPr>
          <w:rFonts w:ascii="Times New Roman" w:hAnsi="Times New Roman" w:eastAsia="宋体"/>
          <w:b w:val="0"/>
          <w:bCs w:val="0"/>
          <w:sz w:val="24"/>
          <w:szCs w:val="24"/>
        </w:rPr>
      </w:pPr>
      <w:r>
        <w:rPr>
          <w:rFonts w:hint="eastAsia" w:ascii="Times New Roman" w:hAnsi="Times New Roman" w:eastAsia="宋体"/>
          <w:b w:val="0"/>
          <w:bCs w:val="0"/>
          <w:sz w:val="24"/>
          <w:szCs w:val="24"/>
          <w:lang w:val="en-US" w:eastAsia="zh-CN"/>
        </w:rPr>
        <w:t>2、</w:t>
      </w:r>
      <w:r>
        <w:rPr>
          <w:rFonts w:hint="eastAsia" w:ascii="Times New Roman" w:hAnsi="Times New Roman" w:eastAsia="宋体"/>
          <w:b w:val="0"/>
          <w:bCs w:val="0"/>
          <w:sz w:val="24"/>
          <w:szCs w:val="24"/>
        </w:rPr>
        <w:t>环境风险防范措施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bCs/>
          <w:color w:val="000000"/>
          <w:sz w:val="24"/>
          <w:lang w:val="en-US" w:eastAsia="zh-CN"/>
        </w:rPr>
      </w:pPr>
      <w:r>
        <w:rPr>
          <w:rFonts w:hint="eastAsia" w:ascii="宋体" w:hAnsi="宋体" w:eastAsia="宋体" w:cs="宋体"/>
          <w:bCs/>
          <w:color w:val="000000"/>
          <w:sz w:val="24"/>
          <w:lang w:val="en-US" w:eastAsia="zh-CN"/>
        </w:rPr>
        <w:t>项目主要风险事故是，锅炉采用天然气为燃料，锅炉在运行过程中可能会发生天然气泄漏而导致环境风险事故</w:t>
      </w:r>
      <w:r>
        <w:rPr>
          <w:rFonts w:hint="eastAsia"/>
          <w:bCs/>
          <w:color w:val="000000"/>
          <w:sz w:val="24"/>
          <w:lang w:val="en-US" w:eastAsia="zh-CN"/>
        </w:rPr>
        <w:t>。</w:t>
      </w:r>
    </w:p>
    <w:p>
      <w:pPr>
        <w:pStyle w:val="17"/>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pPr>
      <w:r>
        <w:rPr>
          <w:rFonts w:hint="eastAsia"/>
        </w:rPr>
        <w:t>采取的风险防范措施如下：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（1）加强运行管理，定期检查调整炉内燃烧工况，保证锅炉完全燃烧，并及时修理锅炉本体漏风点。保证室内通风换气，备足灭火器等灭火工具。</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（2）加强操作人员的岗位培训，严格遵守规程。对事故易发处按规定事件巡检，发现问题及早解决。</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eastAsia="宋体"/>
          <w:b/>
          <w:bCs/>
          <w:sz w:val="28"/>
          <w:szCs w:val="28"/>
          <w:lang w:val="en-US" w:eastAsia="zh-CN"/>
        </w:rPr>
      </w:pPr>
      <w:r>
        <w:rPr>
          <w:rFonts w:hint="eastAsia" w:ascii="Times New Roman" w:hAnsi="Times New Roman" w:eastAsia="宋体"/>
          <w:b/>
          <w:bCs/>
          <w:sz w:val="28"/>
          <w:szCs w:val="28"/>
          <w:lang w:val="en-US" w:eastAsia="zh-CN"/>
        </w:rPr>
        <w:t>3.2环境保护措施落实情况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eastAsia" w:ascii="Times New Roman" w:hAnsi="Times New Roman" w:eastAsia="宋体"/>
          <w:b w:val="0"/>
          <w:bCs w:val="0"/>
          <w:sz w:val="24"/>
          <w:szCs w:val="24"/>
          <w:lang w:val="en-US" w:eastAsia="zh-CN"/>
        </w:rPr>
      </w:pPr>
      <w:r>
        <w:rPr>
          <w:rFonts w:hint="eastAsia" w:ascii="Times New Roman" w:hAnsi="Times New Roman" w:eastAsia="宋体"/>
          <w:b w:val="0"/>
          <w:bCs w:val="0"/>
          <w:sz w:val="24"/>
          <w:szCs w:val="24"/>
          <w:lang w:val="en-US" w:eastAsia="zh-CN"/>
        </w:rPr>
        <w:t>3.2.1施工期环境保护措施</w:t>
      </w:r>
    </w:p>
    <w:p>
      <w:pPr>
        <w:pStyle w:val="2"/>
        <w:keepNext w:val="0"/>
        <w:keepLines w:val="0"/>
        <w:pageBreakBefore w:val="0"/>
        <w:widowControl/>
        <w:numPr>
          <w:ilvl w:val="0"/>
          <w:numId w:val="1"/>
        </w:numPr>
        <w:kinsoku/>
        <w:wordWrap/>
        <w:overflowPunct/>
        <w:topLinePunct w:val="0"/>
        <w:autoSpaceDE/>
        <w:autoSpaceDN/>
        <w:bidi w:val="0"/>
        <w:adjustRightInd w:val="0"/>
        <w:snapToGrid w:val="0"/>
        <w:spacing w:after="0" w:line="360" w:lineRule="auto"/>
        <w:jc w:val="both"/>
        <w:textAlignment w:val="auto"/>
        <w:rPr>
          <w:rFonts w:hint="eastAsia" w:ascii="Times New Roman" w:hAnsi="Times New Roman" w:eastAsia="宋体"/>
          <w:b w:val="0"/>
          <w:bCs w:val="0"/>
          <w:sz w:val="24"/>
          <w:szCs w:val="24"/>
          <w:lang w:val="en-US" w:eastAsia="zh-CN"/>
        </w:rPr>
      </w:pPr>
      <w:r>
        <w:rPr>
          <w:rFonts w:hint="eastAsia" w:ascii="Times New Roman" w:hAnsi="Times New Roman" w:eastAsia="宋体"/>
          <w:b w:val="0"/>
          <w:bCs w:val="0"/>
          <w:sz w:val="24"/>
          <w:szCs w:val="24"/>
          <w:lang w:val="en-US" w:eastAsia="zh-CN"/>
        </w:rPr>
        <w:t>大气环境保护措施和对策</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default" w:ascii="Times New Roman" w:hAnsi="Times New Roman" w:eastAsia="宋体" w:cs="Times New Roman"/>
          <w:sz w:val="24"/>
        </w:rPr>
      </w:pPr>
      <w:r>
        <w:rPr>
          <w:rFonts w:hint="default" w:ascii="Times New Roman" w:hAnsi="Times New Roman" w:eastAsia="宋体" w:cs="Times New Roman"/>
          <w:sz w:val="24"/>
        </w:rPr>
        <w:t>（1）施工期间采取了湿法作业、施工现场设置围栏、避开大风天气作业等措施。</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default" w:ascii="Times New Roman" w:hAnsi="Times New Roman" w:eastAsia="宋体" w:cs="Times New Roman"/>
          <w:sz w:val="24"/>
        </w:rPr>
      </w:pPr>
      <w:r>
        <w:rPr>
          <w:rFonts w:hint="default" w:ascii="Times New Roman" w:hAnsi="Times New Roman" w:eastAsia="宋体" w:cs="Times New Roman"/>
          <w:sz w:val="24"/>
        </w:rPr>
        <w:t>（2）施工期间，施工单位选用了符合国家卫生防护标准的施工机械设备和运输车辆，使用了品质较好的燃油。</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default" w:ascii="Times New Roman" w:hAnsi="Times New Roman" w:eastAsia="宋体" w:cs="Times New Roman"/>
          <w:sz w:val="24"/>
        </w:rPr>
      </w:pPr>
      <w:r>
        <w:rPr>
          <w:rFonts w:hint="default" w:ascii="Times New Roman" w:hAnsi="Times New Roman" w:eastAsia="宋体" w:cs="Times New Roman"/>
          <w:sz w:val="24"/>
        </w:rPr>
        <w:t>（3）施工期间焊接作业使用了无毒或低毒焊条，减少了焊接烟尘对周围空气环境的影响。</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2、水环境保护措施和对策</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（1）本项目采用的试压用水为无腐蚀性的清洁水，试压后产生的废水</w:t>
      </w:r>
      <w:r>
        <w:rPr>
          <w:rFonts w:hint="default" w:ascii="Times New Roman" w:hAnsi="Times New Roman" w:eastAsia="宋体" w:cs="Times New Roman"/>
          <w:sz w:val="24"/>
          <w:szCs w:val="24"/>
          <w:lang w:val="en-US" w:eastAsia="zh-CN"/>
        </w:rPr>
        <w:t>经</w:t>
      </w:r>
      <w:r>
        <w:rPr>
          <w:rFonts w:hint="default" w:ascii="Times New Roman" w:hAnsi="Times New Roman" w:eastAsia="宋体" w:cs="Times New Roman"/>
          <w:sz w:val="24"/>
          <w:szCs w:val="24"/>
        </w:rPr>
        <w:t>沉淀</w:t>
      </w:r>
      <w:r>
        <w:rPr>
          <w:rFonts w:hint="default" w:ascii="Times New Roman" w:hAnsi="Times New Roman" w:eastAsia="宋体" w:cs="Times New Roman"/>
          <w:sz w:val="24"/>
          <w:szCs w:val="24"/>
          <w:lang w:val="en-US" w:eastAsia="zh-CN"/>
        </w:rPr>
        <w:t>处理</w:t>
      </w:r>
      <w:r>
        <w:rPr>
          <w:rFonts w:hint="default" w:ascii="Times New Roman" w:hAnsi="Times New Roman" w:eastAsia="宋体" w:cs="Times New Roman"/>
          <w:sz w:val="24"/>
          <w:szCs w:val="24"/>
        </w:rPr>
        <w:t>后</w:t>
      </w:r>
      <w:r>
        <w:rPr>
          <w:rFonts w:hint="default" w:ascii="Times New Roman" w:hAnsi="Times New Roman" w:eastAsia="宋体" w:cs="Times New Roman"/>
          <w:sz w:val="24"/>
          <w:szCs w:val="24"/>
          <w:lang w:val="en-US" w:eastAsia="zh-CN"/>
        </w:rPr>
        <w:t>用于周边绿化</w:t>
      </w:r>
      <w:r>
        <w:rPr>
          <w:rFonts w:hint="default" w:ascii="Times New Roman" w:hAnsi="Times New Roman" w:eastAsia="宋体" w:cs="Times New Roman"/>
          <w:sz w:val="24"/>
          <w:szCs w:val="24"/>
        </w:rPr>
        <w:t>。</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（2）施工期施工人员生活废水依托附近站场内生活设施，由当地农民定期清掏，用作农肥</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不外排</w:t>
      </w:r>
      <w:r>
        <w:rPr>
          <w:rFonts w:hint="default" w:ascii="Times New Roman" w:hAnsi="Times New Roman" w:eastAsia="宋体" w:cs="Times New Roman"/>
          <w:sz w:val="24"/>
          <w:szCs w:val="24"/>
        </w:rPr>
        <w:t>。</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3、声环境保护措施和对策</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（1）合理布局施工现场，尽量选用低噪声设备。</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（2）制定施工计划时，尽可能避免大量高噪声设备同时施工。</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（3）施工期加强对施工机械维护保养工作。</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（4）制定合理的运输线路，严禁车辆进出工地时鸣笛，并加强对运输车辆的管理及疏导。</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加强施工管理和设备维护，发现设备存在问题及时维修，保证设备正常运转。</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4、固体废物处置措施</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default" w:ascii="Times New Roman" w:hAnsi="Times New Roman" w:eastAsia="宋体" w:cs="Times New Roman"/>
          <w:sz w:val="24"/>
        </w:rPr>
      </w:pPr>
      <w:r>
        <w:rPr>
          <w:rFonts w:hint="default" w:ascii="Times New Roman" w:hAnsi="Times New Roman" w:eastAsia="宋体" w:cs="Times New Roman"/>
          <w:sz w:val="24"/>
        </w:rPr>
        <w:t>（1）本项目产生的施工废料由施工单位进行回收利用，不能利用的运至环卫部门指定地点，由环卫部门处理。</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default" w:ascii="Times New Roman" w:hAnsi="Times New Roman" w:eastAsia="宋体" w:cs="Times New Roman"/>
          <w:sz w:val="24"/>
        </w:rPr>
      </w:pPr>
      <w:r>
        <w:rPr>
          <w:rFonts w:hint="default" w:ascii="Times New Roman" w:hAnsi="Times New Roman" w:eastAsia="宋体" w:cs="Times New Roman"/>
          <w:sz w:val="24"/>
        </w:rPr>
        <w:t>（2）本项目施工过程中产生的多余土方就近用于土地平整。</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default" w:ascii="Times New Roman" w:hAnsi="Times New Roman" w:eastAsia="宋体" w:cs="Times New Roman"/>
          <w:sz w:val="24"/>
        </w:rPr>
      </w:pPr>
      <w:r>
        <w:rPr>
          <w:rFonts w:hint="default" w:ascii="Times New Roman" w:hAnsi="Times New Roman" w:eastAsia="宋体" w:cs="Times New Roman"/>
          <w:sz w:val="24"/>
        </w:rPr>
        <w:t>（3）施工垃圾集中收集后运至环卫部门指定的堆存点，由环卫部门统一处理。</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5、生态环境保护措施和对策</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施工期间，工程占地造成了占地范围内植物种类和数量的减少。施工结束后，及时恢复施工迹地，为施工影响区域内的植被恢复创造良好的条件，使施工中损失的植被较快的恢复原貌。根据现场调查，项目管线敷设临时占地区域的植被已基本恢复。</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cs="Times New Roman"/>
          <w:color w:val="auto"/>
          <w:sz w:val="24"/>
          <w:szCs w:val="24"/>
        </w:rPr>
      </w:pPr>
      <w:bookmarkStart w:id="0" w:name="_GoBack"/>
      <w:r>
        <w:rPr>
          <w:rFonts w:hint="default" w:ascii="Times New Roman" w:hAnsi="Times New Roman" w:eastAsia="宋体" w:cs="Times New Roman"/>
          <w:color w:val="auto"/>
          <w:kern w:val="0"/>
          <w:sz w:val="24"/>
          <w:szCs w:val="24"/>
          <w:lang w:val="en-US" w:eastAsia="zh-CN" w:bidi="ar"/>
        </w:rPr>
        <w:t>3.2.2保障环境保护设施有效运行（运营期）的措施</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lang w:val="en-US" w:eastAsia="zh-CN" w:bidi="ar"/>
        </w:rPr>
        <w:t>本项目运营期间，介质管输为全密闭流程，正常工况下不会排放污染物</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lang w:val="en-US" w:eastAsia="zh-CN" w:bidi="ar"/>
        </w:rPr>
        <w:t>3.2.3生态系统功能恢复措施</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lang w:val="en-US" w:eastAsia="zh-CN" w:bidi="ar"/>
        </w:rPr>
        <w:t>临时占地在施工结束后加快恢复为原用地类型，以不改变土地利用性质为原则；严格按照分层剥离、分层开挖、分层堆放和循序分层回填方式进行管沟开挖与土壤回填，及时恢复地貌和植被。</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lang w:val="en-US" w:eastAsia="zh-CN" w:bidi="ar"/>
        </w:rPr>
        <w:t>3.2.4生物多样性保护措施</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lang w:val="en-US" w:eastAsia="zh-CN" w:bidi="ar"/>
        </w:rPr>
        <w:t>1）严格控制施工作业带，减少对地表植被的破坏，且施工结束后及时恢复地表植被；</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2）加快施工进度，缩短施工期，以减轻施工活动对区域野生动物的影响。</w:t>
      </w:r>
    </w:p>
    <w:bookmarkEnd w:id="0"/>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eastAsia" w:ascii="Times New Roman" w:hAnsi="Times New Roman" w:eastAsia="宋体" w:cs="Times New Roman"/>
          <w:b/>
          <w:bCs/>
          <w:color w:val="000000"/>
          <w:kern w:val="0"/>
          <w:sz w:val="28"/>
          <w:szCs w:val="28"/>
          <w:lang w:val="en-US" w:eastAsia="zh-CN" w:bidi="ar"/>
        </w:rPr>
      </w:pPr>
      <w:r>
        <w:rPr>
          <w:rFonts w:hint="eastAsia" w:ascii="Times New Roman" w:hAnsi="Times New Roman" w:eastAsia="宋体" w:cs="Times New Roman"/>
          <w:b/>
          <w:bCs/>
          <w:color w:val="000000"/>
          <w:kern w:val="0"/>
          <w:sz w:val="28"/>
          <w:szCs w:val="28"/>
          <w:lang w:val="en-US" w:eastAsia="zh-CN" w:bidi="ar"/>
        </w:rPr>
        <w:t>3.3配套措施落实情况</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3.3.1区域消减及淘汰落后产能</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本项目不涉及。</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3.3.2防护距离控制及居民迁移</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本项目不涉及。</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3.3.3其他措施</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本项目不涉及区域环境整治、相关外围工程建设等措施。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b/>
          <w:bCs/>
          <w:sz w:val="32"/>
          <w:szCs w:val="32"/>
        </w:rPr>
      </w:pPr>
      <w:r>
        <w:rPr>
          <w:rFonts w:hint="eastAsia" w:ascii="Times New Roman" w:hAnsi="Times New Roman" w:eastAsia="宋体"/>
          <w:b/>
          <w:bCs/>
          <w:sz w:val="32"/>
          <w:szCs w:val="32"/>
          <w:lang w:val="en-US" w:eastAsia="zh-CN"/>
        </w:rPr>
        <w:t>4</w:t>
      </w:r>
      <w:r>
        <w:rPr>
          <w:rFonts w:ascii="Times New Roman" w:hAnsi="Times New Roman" w:eastAsia="宋体"/>
          <w:b/>
          <w:bCs/>
          <w:sz w:val="32"/>
          <w:szCs w:val="32"/>
        </w:rPr>
        <w:t>整改工作情况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本项目不需要整改。</w:t>
      </w:r>
    </w:p>
    <w:p/>
    <w:p/>
    <w:p>
      <w:pPr>
        <w:rPr>
          <w:rFonts w:ascii="Times New Roman" w:hAnsi="Times New Roman" w:eastAsia="宋体"/>
          <w:sz w:val="24"/>
          <w:szCs w:val="24"/>
        </w:rPr>
      </w:pPr>
    </w:p>
    <w:p/>
    <w:sectPr>
      <w:footerReference r:id="rId3"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fG7OrgEAAEsD&#10;AAAOAAAAAAAAAAEAIAAAAB4BAABkcnMvZTJvRG9jLnhtbFBLBQYAAAAABgAGAFkBAAA+BQ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4EE61A"/>
    <w:multiLevelType w:val="singleLevel"/>
    <w:tmpl w:val="FA4EE61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B4"/>
    <w:rsid w:val="000109AF"/>
    <w:rsid w:val="00016D39"/>
    <w:rsid w:val="00064996"/>
    <w:rsid w:val="00096C84"/>
    <w:rsid w:val="0011516E"/>
    <w:rsid w:val="00117263"/>
    <w:rsid w:val="00124BDB"/>
    <w:rsid w:val="001F5C49"/>
    <w:rsid w:val="00291B66"/>
    <w:rsid w:val="002E64CF"/>
    <w:rsid w:val="00382447"/>
    <w:rsid w:val="003946FB"/>
    <w:rsid w:val="003D5486"/>
    <w:rsid w:val="0045125B"/>
    <w:rsid w:val="004B54D6"/>
    <w:rsid w:val="00514DD1"/>
    <w:rsid w:val="00590BFD"/>
    <w:rsid w:val="005D40E3"/>
    <w:rsid w:val="00683036"/>
    <w:rsid w:val="006F5AE9"/>
    <w:rsid w:val="00713C95"/>
    <w:rsid w:val="007A011F"/>
    <w:rsid w:val="007B046D"/>
    <w:rsid w:val="007E69CF"/>
    <w:rsid w:val="00842A03"/>
    <w:rsid w:val="00853DB5"/>
    <w:rsid w:val="00873568"/>
    <w:rsid w:val="008770C6"/>
    <w:rsid w:val="0088545B"/>
    <w:rsid w:val="008D3C33"/>
    <w:rsid w:val="008E608E"/>
    <w:rsid w:val="008F0127"/>
    <w:rsid w:val="00931393"/>
    <w:rsid w:val="009355E6"/>
    <w:rsid w:val="00942455"/>
    <w:rsid w:val="00945501"/>
    <w:rsid w:val="009742A9"/>
    <w:rsid w:val="009A0385"/>
    <w:rsid w:val="009E2591"/>
    <w:rsid w:val="00A76A53"/>
    <w:rsid w:val="00AD6457"/>
    <w:rsid w:val="00AF10AC"/>
    <w:rsid w:val="00B90E8C"/>
    <w:rsid w:val="00BE3360"/>
    <w:rsid w:val="00BF7DC5"/>
    <w:rsid w:val="00CD1E22"/>
    <w:rsid w:val="00CE7B0B"/>
    <w:rsid w:val="00CF50B8"/>
    <w:rsid w:val="00CF7E43"/>
    <w:rsid w:val="00D364B4"/>
    <w:rsid w:val="00D72DEF"/>
    <w:rsid w:val="00DF043E"/>
    <w:rsid w:val="00E45DCE"/>
    <w:rsid w:val="00E64B26"/>
    <w:rsid w:val="00F122F0"/>
    <w:rsid w:val="00F26AE1"/>
    <w:rsid w:val="00F6125B"/>
    <w:rsid w:val="00F72402"/>
    <w:rsid w:val="14D711A4"/>
    <w:rsid w:val="3E273C10"/>
    <w:rsid w:val="6ACE6105"/>
    <w:rsid w:val="6F9F6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before="0" w:after="200" w:line="240" w:lineRule="auto"/>
      <w:jc w:val="left"/>
    </w:pPr>
    <w:rPr>
      <w:rFonts w:ascii="Tahoma" w:hAnsi="Tahoma" w:eastAsia="微软雅黑" w:cs="Times New Roman"/>
      <w:kern w:val="0"/>
      <w:sz w:val="22"/>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360"/>
    </w:pPr>
    <w:rPr>
      <w:rFonts w:ascii="仿宋_GB2312" w:eastAsia="仿宋_GB2312"/>
      <w:sz w:val="30"/>
    </w:rPr>
  </w:style>
  <w:style w:type="paragraph" w:styleId="4">
    <w:name w:val="Normal Indent"/>
    <w:basedOn w:val="1"/>
    <w:unhideWhenUsed/>
    <w:qFormat/>
    <w:uiPriority w:val="99"/>
    <w:pPr>
      <w:ind w:firstLine="420"/>
    </w:pPr>
    <w:rPr>
      <w:rFonts w:eastAsia="宋体"/>
      <w:kern w:val="2"/>
      <w:sz w:val="21"/>
    </w:rPr>
  </w:style>
  <w:style w:type="paragraph" w:styleId="5">
    <w:name w:val="Document Map"/>
    <w:basedOn w:val="1"/>
    <w:link w:val="15"/>
    <w:semiHidden/>
    <w:unhideWhenUsed/>
    <w:qFormat/>
    <w:uiPriority w:val="99"/>
    <w:rPr>
      <w:rFonts w:ascii="宋体" w:eastAsia="宋体"/>
      <w:sz w:val="18"/>
      <w:szCs w:val="18"/>
    </w:rPr>
  </w:style>
  <w:style w:type="paragraph" w:styleId="6">
    <w:name w:val="annotation text"/>
    <w:basedOn w:val="1"/>
    <w:link w:val="19"/>
    <w:qFormat/>
    <w:uiPriority w:val="0"/>
    <w:pPr>
      <w:tabs>
        <w:tab w:val="left" w:pos="377"/>
      </w:tabs>
      <w:adjustRightInd/>
      <w:snapToGrid/>
      <w:spacing w:after="0" w:line="360" w:lineRule="auto"/>
    </w:pPr>
    <w:rPr>
      <w:rFonts w:ascii="宋体" w:hAnsi="Times New Roman" w:eastAsia="宋体"/>
      <w:sz w:val="24"/>
      <w:szCs w:val="24"/>
    </w:rPr>
  </w:style>
  <w:style w:type="paragraph" w:styleId="7">
    <w:name w:val="Balloon Text"/>
    <w:basedOn w:val="1"/>
    <w:link w:val="31"/>
    <w:semiHidden/>
    <w:unhideWhenUsed/>
    <w:uiPriority w:val="99"/>
    <w:pPr>
      <w:spacing w:after="0"/>
    </w:pPr>
    <w:rPr>
      <w:sz w:val="18"/>
      <w:szCs w:val="18"/>
    </w:rPr>
  </w:style>
  <w:style w:type="paragraph" w:styleId="8">
    <w:name w:val="footer"/>
    <w:basedOn w:val="1"/>
    <w:link w:val="14"/>
    <w:uiPriority w:val="0"/>
    <w:pPr>
      <w:tabs>
        <w:tab w:val="center" w:pos="4153"/>
        <w:tab w:val="right" w:pos="8306"/>
      </w:tabs>
    </w:pPr>
    <w:rPr>
      <w:sz w:val="18"/>
    </w:rPr>
  </w:style>
  <w:style w:type="paragraph" w:styleId="9">
    <w:name w:val="header"/>
    <w:basedOn w:val="1"/>
    <w:link w:val="32"/>
    <w:semiHidden/>
    <w:unhideWhenUsed/>
    <w:uiPriority w:val="99"/>
    <w:pPr>
      <w:pBdr>
        <w:bottom w:val="single" w:color="auto" w:sz="6" w:space="1"/>
      </w:pBdr>
      <w:tabs>
        <w:tab w:val="center" w:pos="4153"/>
        <w:tab w:val="right" w:pos="8306"/>
      </w:tabs>
      <w:jc w:val="center"/>
    </w:pPr>
    <w:rPr>
      <w:sz w:val="18"/>
      <w:szCs w:val="18"/>
    </w:rPr>
  </w:style>
  <w:style w:type="table" w:styleId="11">
    <w:name w:val="Table Grid"/>
    <w:basedOn w:val="10"/>
    <w:qFormat/>
    <w:uiPriority w:val="39"/>
    <w:pPr>
      <w:widowControl w:val="0"/>
      <w:spacing w:before="0" w:after="0" w:line="240" w:lineRule="auto"/>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fontstyle21"/>
    <w:basedOn w:val="12"/>
    <w:qFormat/>
    <w:uiPriority w:val="0"/>
    <w:rPr>
      <w:rFonts w:ascii="TimesNewRomanPSMT" w:hAnsi="TimesNewRomanPSMT" w:eastAsia="TimesNewRomanPSMT" w:cs="TimesNewRomanPSMT"/>
      <w:color w:val="000000"/>
      <w:sz w:val="24"/>
      <w:szCs w:val="24"/>
    </w:rPr>
  </w:style>
  <w:style w:type="character" w:customStyle="1" w:styleId="14">
    <w:name w:val="页脚 字符"/>
    <w:basedOn w:val="12"/>
    <w:link w:val="8"/>
    <w:qFormat/>
    <w:uiPriority w:val="0"/>
    <w:rPr>
      <w:rFonts w:ascii="Tahoma" w:hAnsi="Tahoma" w:eastAsia="微软雅黑" w:cs="Times New Roman"/>
      <w:kern w:val="0"/>
      <w:sz w:val="18"/>
    </w:rPr>
  </w:style>
  <w:style w:type="character" w:customStyle="1" w:styleId="15">
    <w:name w:val="文档结构图 字符"/>
    <w:basedOn w:val="12"/>
    <w:link w:val="5"/>
    <w:semiHidden/>
    <w:qFormat/>
    <w:uiPriority w:val="99"/>
    <w:rPr>
      <w:rFonts w:ascii="宋体" w:hAnsi="Tahoma" w:eastAsia="宋体" w:cs="Times New Roman"/>
      <w:kern w:val="0"/>
      <w:sz w:val="18"/>
      <w:szCs w:val="18"/>
    </w:rPr>
  </w:style>
  <w:style w:type="paragraph" w:customStyle="1" w:styleId="16">
    <w:name w:val="lm表格内文字"/>
    <w:basedOn w:val="1"/>
    <w:qFormat/>
    <w:uiPriority w:val="0"/>
    <w:pPr>
      <w:widowControl w:val="0"/>
      <w:adjustRightInd/>
      <w:snapToGrid/>
      <w:spacing w:after="0"/>
      <w:jc w:val="center"/>
      <w:textAlignment w:val="center"/>
    </w:pPr>
    <w:rPr>
      <w:rFonts w:ascii="宋体" w:hAnsi="宋体" w:eastAsia="宋体"/>
      <w:kern w:val="2"/>
      <w:sz w:val="21"/>
      <w:szCs w:val="21"/>
    </w:rPr>
  </w:style>
  <w:style w:type="paragraph" w:customStyle="1" w:styleId="17">
    <w:name w:val="lm正文"/>
    <w:basedOn w:val="1"/>
    <w:link w:val="18"/>
    <w:qFormat/>
    <w:uiPriority w:val="0"/>
    <w:pPr>
      <w:widowControl w:val="0"/>
      <w:spacing w:after="0" w:line="331" w:lineRule="auto"/>
      <w:ind w:firstLine="480" w:firstLineChars="200"/>
      <w:jc w:val="both"/>
    </w:pPr>
    <w:rPr>
      <w:rFonts w:ascii="宋体" w:hAnsi="宋体" w:eastAsia="宋体"/>
      <w:sz w:val="24"/>
      <w:szCs w:val="24"/>
    </w:rPr>
  </w:style>
  <w:style w:type="character" w:customStyle="1" w:styleId="18">
    <w:name w:val="lm正文 Char"/>
    <w:link w:val="17"/>
    <w:uiPriority w:val="0"/>
    <w:rPr>
      <w:rFonts w:ascii="宋体" w:hAnsi="宋体" w:eastAsia="宋体" w:cs="Times New Roman"/>
      <w:kern w:val="0"/>
      <w:sz w:val="24"/>
      <w:szCs w:val="24"/>
    </w:rPr>
  </w:style>
  <w:style w:type="character" w:customStyle="1" w:styleId="19">
    <w:name w:val="批注文字 字符"/>
    <w:basedOn w:val="12"/>
    <w:link w:val="6"/>
    <w:qFormat/>
    <w:uiPriority w:val="0"/>
    <w:rPr>
      <w:rFonts w:ascii="宋体" w:hAnsi="Times New Roman" w:eastAsia="宋体" w:cs="Times New Roman"/>
      <w:kern w:val="0"/>
      <w:sz w:val="24"/>
      <w:szCs w:val="24"/>
    </w:rPr>
  </w:style>
  <w:style w:type="paragraph" w:customStyle="1" w:styleId="20">
    <w:name w:val="lm表头"/>
    <w:basedOn w:val="1"/>
    <w:link w:val="21"/>
    <w:qFormat/>
    <w:uiPriority w:val="0"/>
    <w:pPr>
      <w:widowControl w:val="0"/>
      <w:adjustRightInd/>
      <w:snapToGrid/>
      <w:spacing w:beforeLines="50" w:after="0" w:line="331" w:lineRule="auto"/>
      <w:jc w:val="center"/>
    </w:pPr>
    <w:rPr>
      <w:rFonts w:ascii="宋体" w:hAnsi="宋体" w:eastAsia="宋体"/>
      <w:bCs/>
      <w:kern w:val="2"/>
      <w:sz w:val="21"/>
      <w:szCs w:val="21"/>
    </w:rPr>
  </w:style>
  <w:style w:type="character" w:customStyle="1" w:styleId="21">
    <w:name w:val="lm表头 Char"/>
    <w:link w:val="20"/>
    <w:qFormat/>
    <w:uiPriority w:val="0"/>
    <w:rPr>
      <w:rFonts w:ascii="宋体" w:hAnsi="宋体" w:eastAsia="宋体" w:cs="Times New Roman"/>
      <w:bCs/>
      <w:szCs w:val="21"/>
    </w:rPr>
  </w:style>
  <w:style w:type="paragraph" w:customStyle="1" w:styleId="22">
    <w:name w:val="样式 正文 首行缩进:  2 字符 SL CON + 首行缩进:  2 字符 + 首行缩进:  2 字符 + 首行缩..."/>
    <w:basedOn w:val="1"/>
    <w:link w:val="27"/>
    <w:qFormat/>
    <w:uiPriority w:val="0"/>
    <w:pPr>
      <w:tabs>
        <w:tab w:val="left" w:pos="377"/>
      </w:tabs>
      <w:adjustRightInd/>
      <w:snapToGrid/>
      <w:spacing w:after="0" w:line="360" w:lineRule="auto"/>
      <w:ind w:firstLine="560" w:firstLineChars="200"/>
    </w:pPr>
    <w:rPr>
      <w:rFonts w:ascii="宋体" w:hAnsi="宋体" w:eastAsia="宋体"/>
      <w:sz w:val="28"/>
      <w:szCs w:val="20"/>
    </w:rPr>
  </w:style>
  <w:style w:type="paragraph" w:customStyle="1" w:styleId="23">
    <w:name w:val="样式 正文 首行缩进:  2 字符 SL CON + 首行缩进:  2 字符"/>
    <w:basedOn w:val="1"/>
    <w:link w:val="24"/>
    <w:qFormat/>
    <w:uiPriority w:val="0"/>
    <w:pPr>
      <w:tabs>
        <w:tab w:val="left" w:pos="377"/>
      </w:tabs>
      <w:adjustRightInd/>
      <w:snapToGrid/>
      <w:spacing w:after="0" w:line="360" w:lineRule="auto"/>
      <w:ind w:firstLine="200" w:firstLineChars="200"/>
    </w:pPr>
    <w:rPr>
      <w:rFonts w:ascii="宋体" w:hAnsi="Times New Roman" w:eastAsia="宋体"/>
      <w:sz w:val="28"/>
      <w:szCs w:val="20"/>
    </w:rPr>
  </w:style>
  <w:style w:type="character" w:customStyle="1" w:styleId="24">
    <w:name w:val="样式 正文 首行缩进:  2 字符 SL CON + 首行缩进:  2 字符 Char"/>
    <w:link w:val="23"/>
    <w:qFormat/>
    <w:uiPriority w:val="0"/>
    <w:rPr>
      <w:rFonts w:ascii="宋体" w:hAnsi="Times New Roman" w:eastAsia="宋体" w:cs="Times New Roman"/>
      <w:kern w:val="0"/>
      <w:sz w:val="28"/>
      <w:szCs w:val="20"/>
    </w:rPr>
  </w:style>
  <w:style w:type="paragraph" w:customStyle="1" w:styleId="25">
    <w:name w:val="样式 表（或图）标题"/>
    <w:basedOn w:val="1"/>
    <w:link w:val="26"/>
    <w:qFormat/>
    <w:uiPriority w:val="0"/>
    <w:pPr>
      <w:adjustRightInd/>
      <w:snapToGrid/>
      <w:spacing w:before="100" w:beforeAutospacing="1" w:after="0" w:line="360" w:lineRule="auto"/>
      <w:jc w:val="center"/>
    </w:pPr>
    <w:rPr>
      <w:rFonts w:ascii="宋体" w:hAnsi="宋体" w:eastAsia="宋体"/>
      <w:b/>
      <w:sz w:val="21"/>
      <w:szCs w:val="20"/>
    </w:rPr>
  </w:style>
  <w:style w:type="character" w:customStyle="1" w:styleId="26">
    <w:name w:val="样式 表（或图）标题 Char"/>
    <w:link w:val="25"/>
    <w:qFormat/>
    <w:uiPriority w:val="0"/>
    <w:rPr>
      <w:rFonts w:ascii="宋体" w:hAnsi="宋体" w:eastAsia="宋体" w:cs="Times New Roman"/>
      <w:b/>
      <w:kern w:val="0"/>
      <w:szCs w:val="20"/>
    </w:rPr>
  </w:style>
  <w:style w:type="character" w:customStyle="1" w:styleId="27">
    <w:name w:val="样式 正文 首行缩进:  2 字符 SL CON + 首行缩进:  2 字符 + 首行缩进:  2 字符 + 首行缩... Char"/>
    <w:link w:val="22"/>
    <w:qFormat/>
    <w:uiPriority w:val="0"/>
    <w:rPr>
      <w:rFonts w:ascii="宋体" w:hAnsi="宋体" w:eastAsia="宋体" w:cs="Times New Roman"/>
      <w:kern w:val="0"/>
      <w:sz w:val="28"/>
      <w:szCs w:val="20"/>
    </w:rPr>
  </w:style>
  <w:style w:type="paragraph" w:customStyle="1" w:styleId="28">
    <w:name w:val="lm图例"/>
    <w:basedOn w:val="1"/>
    <w:link w:val="29"/>
    <w:qFormat/>
    <w:uiPriority w:val="0"/>
    <w:pPr>
      <w:widowControl w:val="0"/>
      <w:adjustRightInd/>
      <w:snapToGrid/>
      <w:spacing w:beforeLines="50" w:afterLines="50" w:line="331" w:lineRule="auto"/>
      <w:jc w:val="center"/>
    </w:pPr>
    <w:rPr>
      <w:rFonts w:ascii="宋体" w:hAnsi="宋体" w:eastAsia="宋体"/>
      <w:kern w:val="2"/>
      <w:sz w:val="21"/>
    </w:rPr>
  </w:style>
  <w:style w:type="character" w:customStyle="1" w:styleId="29">
    <w:name w:val="lm图例 Char"/>
    <w:link w:val="28"/>
    <w:qFormat/>
    <w:uiPriority w:val="0"/>
    <w:rPr>
      <w:rFonts w:ascii="宋体" w:hAnsi="宋体" w:eastAsia="宋体" w:cs="Times New Roman"/>
    </w:rPr>
  </w:style>
  <w:style w:type="paragraph" w:customStyle="1" w:styleId="30">
    <w:name w:val="第四章图件"/>
    <w:basedOn w:val="4"/>
    <w:qFormat/>
    <w:uiPriority w:val="0"/>
    <w:pPr>
      <w:widowControl w:val="0"/>
      <w:tabs>
        <w:tab w:val="left" w:pos="852"/>
      </w:tabs>
      <w:adjustRightInd/>
      <w:spacing w:after="0"/>
      <w:ind w:left="420" w:firstLine="0"/>
      <w:jc w:val="center"/>
    </w:pPr>
    <w:rPr>
      <w:rFonts w:ascii="Times New Roman" w:hAnsi="Times New Roman"/>
      <w:sz w:val="24"/>
      <w:szCs w:val="24"/>
    </w:rPr>
  </w:style>
  <w:style w:type="character" w:customStyle="1" w:styleId="31">
    <w:name w:val="批注框文本 字符"/>
    <w:basedOn w:val="12"/>
    <w:link w:val="7"/>
    <w:semiHidden/>
    <w:qFormat/>
    <w:uiPriority w:val="99"/>
    <w:rPr>
      <w:rFonts w:ascii="Tahoma" w:hAnsi="Tahoma" w:eastAsia="微软雅黑" w:cs="Times New Roman"/>
      <w:kern w:val="0"/>
      <w:sz w:val="18"/>
      <w:szCs w:val="18"/>
    </w:rPr>
  </w:style>
  <w:style w:type="character" w:customStyle="1" w:styleId="32">
    <w:name w:val="页眉 字符"/>
    <w:basedOn w:val="12"/>
    <w:link w:val="9"/>
    <w:semiHidden/>
    <w:uiPriority w:val="99"/>
    <w:rPr>
      <w:rFonts w:ascii="Tahoma" w:hAnsi="Tahoma" w:eastAsia="微软雅黑" w:cs="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0B00B2-F9E8-46B6-A538-B363159D7F4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377</Words>
  <Characters>2152</Characters>
  <Lines>17</Lines>
  <Paragraphs>5</Paragraphs>
  <TotalTime>36</TotalTime>
  <ScaleCrop>false</ScaleCrop>
  <LinksUpToDate>false</LinksUpToDate>
  <CharactersWithSpaces>2524</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2019-02-25T11:20:00Z</dcterms:created>
  <dc:creator>dell</dc:creator>
  <cp:lastModifiedBy>凉城旧人</cp:lastModifiedBy>
  <dcterms:modified xsi:type="dcterms:W3CDTF">2019-08-28T16:21:54Z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